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80" w:rsidRDefault="00560B80"/>
    <w:p w:rsidR="0027655E" w:rsidRDefault="0027655E" w:rsidP="0027655E">
      <w:pPr>
        <w:pStyle w:val="EnvelopeReturn"/>
        <w:ind w:left="720" w:hanging="360"/>
        <w:rPr>
          <w:rFonts w:ascii="Verdana" w:hAnsi="Verdana" w:cs="Tahoma"/>
          <w:color w:val="000000"/>
          <w:spacing w:val="-2"/>
          <w:sz w:val="16"/>
          <w:szCs w:val="16"/>
        </w:rPr>
      </w:pPr>
      <w:r>
        <w:rPr>
          <w:rFonts w:ascii="Verdana" w:hAnsi="Verdana" w:cs="Tahoma"/>
          <w:b/>
          <w:bCs/>
          <w:color w:val="000000"/>
          <w:spacing w:val="-2"/>
          <w:sz w:val="16"/>
          <w:szCs w:val="16"/>
        </w:rPr>
        <w:t>11.</w:t>
      </w:r>
      <w:r>
        <w:rPr>
          <w:b/>
          <w:bCs/>
          <w:color w:val="000000"/>
          <w:spacing w:val="-2"/>
          <w:sz w:val="14"/>
          <w:szCs w:val="14"/>
        </w:rPr>
        <w:t xml:space="preserve">  </w:t>
      </w:r>
      <w:r>
        <w:rPr>
          <w:rFonts w:ascii="Verdana" w:hAnsi="Verdana" w:cs="Tahoma"/>
          <w:b/>
          <w:bCs/>
          <w:color w:val="000000"/>
          <w:spacing w:val="-2"/>
          <w:sz w:val="16"/>
          <w:szCs w:val="16"/>
        </w:rPr>
        <w:t>Gider pusulası hangi durumlarda düzenlenir?</w:t>
      </w:r>
    </w:p>
    <w:p w:rsidR="0027655E" w:rsidRDefault="0027655E" w:rsidP="0027655E">
      <w:pPr>
        <w:pStyle w:val="EnvelopeReturn"/>
        <w:ind w:left="360"/>
        <w:rPr>
          <w:rFonts w:ascii="Verdana" w:hAnsi="Verdana" w:cs="Tahoma"/>
          <w:color w:val="000000"/>
          <w:spacing w:val="-2"/>
          <w:sz w:val="16"/>
          <w:szCs w:val="16"/>
        </w:rPr>
      </w:pPr>
      <w:r>
        <w:rPr>
          <w:rFonts w:ascii="Verdana" w:hAnsi="Verdana" w:cs="Tahoma"/>
          <w:b/>
          <w:bCs/>
          <w:color w:val="000000"/>
          <w:spacing w:val="-2"/>
          <w:sz w:val="16"/>
          <w:szCs w:val="16"/>
        </w:rPr>
        <w:t> </w:t>
      </w:r>
    </w:p>
    <w:p w:rsidR="0027655E" w:rsidRDefault="0027655E" w:rsidP="0027655E">
      <w:pPr>
        <w:pStyle w:val="EnvelopeReturn"/>
        <w:ind w:firstLine="708"/>
        <w:rPr>
          <w:rFonts w:ascii="Verdana" w:hAnsi="Verdana" w:cs="Tahoma"/>
          <w:color w:val="000000"/>
          <w:spacing w:val="-2"/>
          <w:sz w:val="16"/>
          <w:szCs w:val="16"/>
        </w:rPr>
      </w:pPr>
      <w:r>
        <w:rPr>
          <w:rFonts w:ascii="Verdana" w:hAnsi="Verdana" w:cs="Tahoma"/>
          <w:color w:val="000000"/>
          <w:spacing w:val="-2"/>
          <w:sz w:val="16"/>
          <w:szCs w:val="16"/>
        </w:rPr>
        <w:t>Gider   pusulası,  fatura  düzenlenmesinin  olanak   dışı   olduğu   durumlarda,  kayıtların belgelenmesini sağlama amacına yönelik olarak düzenlenen, VUK’nun 234. maddesinde yer alan bir belgedir. Diğer bir anlatımla gider pusulaları ile, fatura istemek ve almak mecburiyetinde olan şahısların fatura verme yükümlülüğü bulunmayan şahıslar ile olan ilişkileri belgelenebilmektedir.</w:t>
      </w:r>
    </w:p>
    <w:p w:rsidR="0027655E" w:rsidRDefault="0027655E" w:rsidP="0027655E">
      <w:pPr>
        <w:pStyle w:val="EnvelopeReturn"/>
        <w:rPr>
          <w:rFonts w:ascii="Verdana" w:hAnsi="Verdana" w:cs="Tahoma"/>
          <w:color w:val="000000"/>
          <w:spacing w:val="-2"/>
          <w:sz w:val="16"/>
          <w:szCs w:val="16"/>
        </w:rPr>
      </w:pPr>
      <w:r>
        <w:rPr>
          <w:rFonts w:ascii="Verdana" w:hAnsi="Verdana" w:cs="Tahoma"/>
          <w:color w:val="000000"/>
          <w:spacing w:val="-2"/>
          <w:sz w:val="16"/>
          <w:szCs w:val="16"/>
        </w:rPr>
        <w:t>            Gider pusulası; “Birinci ve ikinci sınıf tüccarlar, kazancı basit usulde tespit edilenlerle defter tutmak mecburiyetinde olan serbest meslek erbabının ve çiftçilerin:</w:t>
      </w:r>
    </w:p>
    <w:p w:rsidR="0027655E" w:rsidRDefault="0027655E" w:rsidP="0027655E">
      <w:pPr>
        <w:pStyle w:val="EnvelopeReturn"/>
        <w:ind w:firstLine="705"/>
        <w:rPr>
          <w:rFonts w:ascii="Verdana" w:hAnsi="Verdana" w:cs="Tahoma"/>
          <w:color w:val="000000"/>
          <w:spacing w:val="-2"/>
          <w:sz w:val="16"/>
          <w:szCs w:val="16"/>
        </w:rPr>
      </w:pPr>
      <w:r>
        <w:rPr>
          <w:rFonts w:ascii="Verdana" w:hAnsi="Verdana" w:cs="Tahoma"/>
          <w:color w:val="000000"/>
          <w:spacing w:val="-2"/>
          <w:sz w:val="16"/>
          <w:szCs w:val="16"/>
        </w:rPr>
        <w:t> Vergiden muaf esnafa; yaptırdıkları işler veya onlardan satın aldıkları emtia için tanzim edip işi yapana veya emtiayı satana imza ettirecekleri gider pusulası vergiden muaf esnaf tarafından verilmiş fatura hükmündedir. Bu belge birinci ve ikinci sınıf tüccarların, zatî eşyalarını satan kimselerden satın aldıkları altın, mücevher gibi kıymetli eşya içinde tanzim edilir.</w:t>
      </w:r>
    </w:p>
    <w:p w:rsidR="0027655E" w:rsidRDefault="0027655E" w:rsidP="0027655E">
      <w:pPr>
        <w:pStyle w:val="EnvelopeReturn"/>
        <w:ind w:firstLine="705"/>
        <w:rPr>
          <w:rFonts w:ascii="Verdana" w:hAnsi="Verdana" w:cs="Tahoma"/>
          <w:color w:val="000000"/>
          <w:spacing w:val="-2"/>
          <w:sz w:val="16"/>
          <w:szCs w:val="16"/>
        </w:rPr>
      </w:pPr>
      <w:r>
        <w:rPr>
          <w:rFonts w:ascii="Verdana" w:hAnsi="Verdana" w:cs="Tahoma"/>
          <w:color w:val="000000"/>
          <w:spacing w:val="-2"/>
          <w:sz w:val="16"/>
          <w:szCs w:val="16"/>
        </w:rPr>
        <w:t> Gider pusulası, işin mahiyeti, emtianın cins ve nev'i ile miktar ve bedelini ve iş ücretini ve işi yaptıran ile yapanın veya emtiayı satın alan ile satanın adlarıyla soyadlarını (Tüzel kişilerde unvanlarını) ve adreslerini ve tarihi ihtiva eder ve iki nüsha olarak tanzim ve bir nüshası işi yapana veya malı satana tevdi olunur.</w:t>
      </w:r>
    </w:p>
    <w:p w:rsidR="0027655E" w:rsidRDefault="0027655E" w:rsidP="0027655E">
      <w:pPr>
        <w:pStyle w:val="EnvelopeReturn"/>
        <w:ind w:firstLine="705"/>
        <w:rPr>
          <w:rFonts w:ascii="Verdana" w:hAnsi="Verdana" w:cs="Tahoma"/>
          <w:color w:val="000000"/>
          <w:spacing w:val="-2"/>
          <w:sz w:val="16"/>
          <w:szCs w:val="16"/>
        </w:rPr>
      </w:pPr>
      <w:r>
        <w:rPr>
          <w:rFonts w:ascii="Verdana" w:hAnsi="Verdana" w:cs="Tahoma"/>
          <w:color w:val="000000"/>
          <w:spacing w:val="-2"/>
          <w:sz w:val="16"/>
          <w:szCs w:val="16"/>
        </w:rPr>
        <w:t>   </w:t>
      </w:r>
    </w:p>
    <w:p w:rsidR="0027655E" w:rsidRDefault="0027655E" w:rsidP="0027655E">
      <w:pPr>
        <w:pStyle w:val="EnvelopeReturn"/>
        <w:ind w:firstLine="705"/>
        <w:rPr>
          <w:rFonts w:ascii="Verdana" w:hAnsi="Verdana" w:cs="Tahoma"/>
          <w:color w:val="000000"/>
          <w:spacing w:val="-2"/>
          <w:sz w:val="16"/>
          <w:szCs w:val="16"/>
        </w:rPr>
      </w:pPr>
      <w:r>
        <w:rPr>
          <w:rFonts w:ascii="Verdana" w:hAnsi="Verdana" w:cs="Tahoma"/>
          <w:color w:val="000000"/>
          <w:spacing w:val="-2"/>
          <w:sz w:val="16"/>
          <w:szCs w:val="16"/>
        </w:rPr>
        <w:t xml:space="preserve">Gider pusulaları, seri ve sıra numarası dahilinde teselsül ettirilir.” denilerek açıklanmıştır.  </w:t>
      </w:r>
    </w:p>
    <w:p w:rsidR="0027655E" w:rsidRDefault="0027655E" w:rsidP="0027655E">
      <w:pPr>
        <w:pStyle w:val="EnvelopeReturn"/>
        <w:rPr>
          <w:rFonts w:ascii="Verdana" w:hAnsi="Verdana" w:cs="Tahoma"/>
          <w:color w:val="000000"/>
          <w:spacing w:val="-2"/>
          <w:sz w:val="16"/>
          <w:szCs w:val="16"/>
        </w:rPr>
      </w:pPr>
      <w:r>
        <w:rPr>
          <w:rFonts w:ascii="Verdana" w:hAnsi="Verdana" w:cs="Tahoma"/>
          <w:b/>
          <w:bCs/>
          <w:color w:val="000000"/>
          <w:spacing w:val="-2"/>
          <w:sz w:val="16"/>
          <w:szCs w:val="16"/>
        </w:rPr>
        <w:t> </w:t>
      </w:r>
    </w:p>
    <w:p w:rsidR="0027655E" w:rsidRDefault="0027655E" w:rsidP="0027655E">
      <w:pPr>
        <w:pStyle w:val="EnvelopeReturn"/>
        <w:ind w:left="720" w:hanging="360"/>
        <w:rPr>
          <w:rFonts w:ascii="Verdana" w:hAnsi="Verdana" w:cs="Tahoma"/>
          <w:color w:val="000000"/>
          <w:spacing w:val="-2"/>
          <w:sz w:val="16"/>
          <w:szCs w:val="16"/>
        </w:rPr>
      </w:pPr>
      <w:r>
        <w:rPr>
          <w:rFonts w:ascii="Verdana" w:hAnsi="Verdana" w:cs="Tahoma"/>
          <w:b/>
          <w:bCs/>
          <w:color w:val="000000"/>
          <w:spacing w:val="-2"/>
          <w:sz w:val="16"/>
          <w:szCs w:val="16"/>
        </w:rPr>
        <w:t>12.</w:t>
      </w:r>
      <w:r>
        <w:rPr>
          <w:b/>
          <w:bCs/>
          <w:color w:val="000000"/>
          <w:spacing w:val="-2"/>
          <w:sz w:val="14"/>
          <w:szCs w:val="14"/>
        </w:rPr>
        <w:t xml:space="preserve">  </w:t>
      </w:r>
      <w:r>
        <w:rPr>
          <w:rFonts w:ascii="Verdana" w:hAnsi="Verdana" w:cs="Tahoma"/>
          <w:b/>
          <w:bCs/>
          <w:color w:val="000000"/>
          <w:spacing w:val="-2"/>
          <w:sz w:val="16"/>
          <w:szCs w:val="16"/>
        </w:rPr>
        <w:t>Adına gider pusulası düzenlenen kişi; gider pusulasını imzalamaz ise ne olur?</w:t>
      </w:r>
    </w:p>
    <w:p w:rsidR="0027655E" w:rsidRDefault="0027655E" w:rsidP="0027655E">
      <w:pPr>
        <w:pStyle w:val="EnvelopeReturn"/>
        <w:ind w:firstLine="708"/>
        <w:rPr>
          <w:rFonts w:ascii="Verdana" w:hAnsi="Verdana" w:cs="Tahoma"/>
          <w:color w:val="000000"/>
          <w:spacing w:val="-2"/>
          <w:sz w:val="16"/>
          <w:szCs w:val="16"/>
        </w:rPr>
      </w:pPr>
      <w:r>
        <w:rPr>
          <w:rFonts w:ascii="Verdana" w:hAnsi="Verdana" w:cs="Tahoma"/>
          <w:color w:val="000000"/>
          <w:spacing w:val="-2"/>
          <w:sz w:val="16"/>
          <w:szCs w:val="16"/>
        </w:rPr>
        <w:t>Düzenlenen gider pusulasının haklı nedene dayanmaksızın imza etmekten kaçınanlara 2006 yılı için 129 YTL’sı özel usulsüzlük cezası uygulanır.</w:t>
      </w:r>
    </w:p>
    <w:p w:rsidR="0027655E" w:rsidRDefault="0027655E" w:rsidP="0027655E">
      <w:pPr>
        <w:pStyle w:val="EnvelopeReturn"/>
        <w:ind w:left="720" w:hanging="360"/>
        <w:rPr>
          <w:rFonts w:ascii="Verdana" w:hAnsi="Verdana" w:cs="Tahoma"/>
          <w:color w:val="000000"/>
          <w:spacing w:val="-2"/>
          <w:sz w:val="16"/>
          <w:szCs w:val="16"/>
        </w:rPr>
      </w:pPr>
      <w:r>
        <w:rPr>
          <w:rFonts w:ascii="Verdana" w:hAnsi="Verdana" w:cs="Tahoma"/>
          <w:b/>
          <w:bCs/>
          <w:color w:val="000000"/>
          <w:spacing w:val="-2"/>
          <w:sz w:val="16"/>
          <w:szCs w:val="16"/>
        </w:rPr>
        <w:t>13.</w:t>
      </w:r>
      <w:r>
        <w:rPr>
          <w:b/>
          <w:bCs/>
          <w:color w:val="000000"/>
          <w:spacing w:val="-2"/>
          <w:sz w:val="14"/>
          <w:szCs w:val="14"/>
        </w:rPr>
        <w:t xml:space="preserve">  </w:t>
      </w:r>
      <w:r>
        <w:rPr>
          <w:rFonts w:ascii="Verdana" w:hAnsi="Verdana" w:cs="Tahoma"/>
          <w:b/>
          <w:bCs/>
          <w:color w:val="000000"/>
          <w:spacing w:val="-2"/>
          <w:sz w:val="16"/>
          <w:szCs w:val="16"/>
        </w:rPr>
        <w:t>İşyerinde çalışan sigortalı bir işçiye gider pusulası düzenlenir mi?</w:t>
      </w:r>
    </w:p>
    <w:p w:rsidR="0027655E" w:rsidRDefault="0027655E" w:rsidP="0027655E">
      <w:pPr>
        <w:pStyle w:val="EnvelopeReturn"/>
        <w:ind w:firstLine="708"/>
        <w:rPr>
          <w:rFonts w:ascii="Verdana" w:hAnsi="Verdana" w:cs="Tahoma"/>
          <w:color w:val="000000"/>
          <w:spacing w:val="-2"/>
          <w:sz w:val="16"/>
          <w:szCs w:val="16"/>
        </w:rPr>
      </w:pPr>
      <w:r>
        <w:rPr>
          <w:rFonts w:ascii="Verdana" w:hAnsi="Verdana" w:cs="Tahoma"/>
          <w:color w:val="000000"/>
          <w:spacing w:val="-2"/>
          <w:sz w:val="16"/>
          <w:szCs w:val="16"/>
        </w:rPr>
        <w:t>İşyerinde   çalışan   sigortalı   işçi  vergiden   muaf  esnaf   olmadığı  için  gider   pusulası düzenlenemez. İşyerinde çalışan işçilere verilen para veya ayınlar ücret sayılır. Gelir Vergisi Kanunu’nun 61’nci maddesinde; “Ücret, işverene tabi ve belirli bir işyerine bağlı olarak çalışanlara, hizmet karşılığı verilen para ve ayınlar ile sağlanan ve para ile temsil edilebilen menfaatlerdir. Bu yüzden firma işçilerine verilen para ve ayınların ücret olarak stopaj gelir vergisine tabi tutulması gerekmektedir..</w:t>
      </w:r>
    </w:p>
    <w:p w:rsidR="0027655E" w:rsidRDefault="0027655E" w:rsidP="0027655E">
      <w:pPr>
        <w:pStyle w:val="EnvelopeReturn"/>
        <w:ind w:left="720" w:hanging="360"/>
        <w:rPr>
          <w:rFonts w:ascii="Verdana" w:hAnsi="Verdana" w:cs="Tahoma"/>
          <w:color w:val="000000"/>
          <w:spacing w:val="-2"/>
          <w:sz w:val="16"/>
          <w:szCs w:val="16"/>
        </w:rPr>
      </w:pPr>
      <w:r>
        <w:rPr>
          <w:rFonts w:ascii="Verdana" w:hAnsi="Verdana" w:cs="Tahoma"/>
          <w:b/>
          <w:bCs/>
          <w:color w:val="000000"/>
          <w:spacing w:val="-2"/>
          <w:sz w:val="16"/>
          <w:szCs w:val="16"/>
        </w:rPr>
        <w:t>14.</w:t>
      </w:r>
      <w:r>
        <w:rPr>
          <w:b/>
          <w:bCs/>
          <w:color w:val="000000"/>
          <w:spacing w:val="-2"/>
          <w:sz w:val="14"/>
          <w:szCs w:val="14"/>
        </w:rPr>
        <w:t xml:space="preserve">  </w:t>
      </w:r>
      <w:r>
        <w:rPr>
          <w:rFonts w:ascii="Verdana" w:hAnsi="Verdana" w:cs="Tahoma"/>
          <w:b/>
          <w:bCs/>
          <w:color w:val="000000"/>
          <w:spacing w:val="-2"/>
          <w:sz w:val="16"/>
          <w:szCs w:val="16"/>
        </w:rPr>
        <w:t>Gider pusulasında gelir vergisi tevkifat oranları kaçtır?</w:t>
      </w:r>
    </w:p>
    <w:p w:rsidR="0027655E" w:rsidRDefault="0027655E" w:rsidP="0027655E">
      <w:pPr>
        <w:pStyle w:val="EnvelopeReturn"/>
        <w:ind w:firstLine="708"/>
        <w:rPr>
          <w:rFonts w:ascii="Verdana" w:hAnsi="Verdana" w:cs="Tahoma"/>
          <w:color w:val="000000"/>
          <w:spacing w:val="-2"/>
          <w:sz w:val="16"/>
          <w:szCs w:val="16"/>
        </w:rPr>
      </w:pPr>
      <w:r>
        <w:rPr>
          <w:rFonts w:ascii="Verdana" w:hAnsi="Verdana" w:cs="Tahoma"/>
          <w:color w:val="000000"/>
          <w:spacing w:val="-2"/>
          <w:sz w:val="16"/>
          <w:szCs w:val="16"/>
        </w:rPr>
        <w:t>Esnaf  muaflığından  yararlananlara   mal   ve   hizmet     alımları     karşılığında   yapılan ödemelerden,</w:t>
      </w:r>
    </w:p>
    <w:p w:rsidR="0027655E" w:rsidRDefault="0027655E" w:rsidP="0027655E">
      <w:pPr>
        <w:pStyle w:val="EnvelopeReturn"/>
        <w:ind w:firstLine="708"/>
        <w:rPr>
          <w:rFonts w:ascii="Verdana" w:hAnsi="Verdana" w:cs="Tahoma"/>
          <w:color w:val="000000"/>
          <w:spacing w:val="-2"/>
          <w:sz w:val="16"/>
          <w:szCs w:val="16"/>
        </w:rPr>
      </w:pPr>
      <w:r>
        <w:rPr>
          <w:rFonts w:ascii="Verdana" w:hAnsi="Verdana" w:cs="Tahoma"/>
          <w:color w:val="000000"/>
          <w:spacing w:val="-2"/>
          <w:sz w:val="16"/>
          <w:szCs w:val="16"/>
        </w:rPr>
        <w:t xml:space="preserve">                        </w:t>
      </w:r>
      <w:r>
        <w:rPr>
          <w:rFonts w:ascii="Verdana" w:hAnsi="Verdana" w:cs="Tahoma"/>
          <w:b/>
          <w:bCs/>
          <w:color w:val="000000"/>
          <w:spacing w:val="-2"/>
          <w:sz w:val="16"/>
          <w:szCs w:val="16"/>
        </w:rPr>
        <w:t>a)</w:t>
      </w:r>
      <w:r>
        <w:rPr>
          <w:rFonts w:ascii="Verdana" w:hAnsi="Verdana" w:cs="Tahoma"/>
          <w:color w:val="000000"/>
          <w:spacing w:val="-2"/>
          <w:sz w:val="16"/>
          <w:szCs w:val="16"/>
        </w:rPr>
        <w:t xml:space="preserve"> Havlu, çarşaf, çorap, halı, kilim, dokuma mamulleri, örgü, dantel, her nevi nakış işleri ve her nevi turistik eşya, hasır, sepet, süpürge, paspas, fırça, yapma çiçek ve benzeri emtia bedelleri veya bu emtianın imalinde ödenen hizmet bedelleri üzerinden % 2,</w:t>
      </w:r>
    </w:p>
    <w:p w:rsidR="0027655E" w:rsidRDefault="0027655E" w:rsidP="0027655E">
      <w:pPr>
        <w:pStyle w:val="EnvelopeReturn"/>
        <w:ind w:firstLine="708"/>
        <w:rPr>
          <w:rFonts w:ascii="Verdana" w:hAnsi="Verdana" w:cs="Tahoma"/>
          <w:color w:val="000000"/>
          <w:spacing w:val="-2"/>
          <w:sz w:val="16"/>
          <w:szCs w:val="16"/>
        </w:rPr>
      </w:pPr>
      <w:r>
        <w:rPr>
          <w:rFonts w:ascii="Verdana" w:hAnsi="Verdana" w:cs="Tahoma"/>
          <w:color w:val="000000"/>
          <w:spacing w:val="-2"/>
          <w:sz w:val="16"/>
          <w:szCs w:val="16"/>
        </w:rPr>
        <w:t xml:space="preserve">                        </w:t>
      </w:r>
      <w:r>
        <w:rPr>
          <w:rFonts w:ascii="Verdana" w:hAnsi="Verdana" w:cs="Tahoma"/>
          <w:b/>
          <w:bCs/>
          <w:color w:val="000000"/>
          <w:spacing w:val="-2"/>
          <w:sz w:val="16"/>
          <w:szCs w:val="16"/>
        </w:rPr>
        <w:t>b)</w:t>
      </w:r>
      <w:r>
        <w:rPr>
          <w:rFonts w:ascii="Verdana" w:hAnsi="Verdana" w:cs="Tahoma"/>
          <w:color w:val="000000"/>
          <w:spacing w:val="-2"/>
          <w:sz w:val="16"/>
          <w:szCs w:val="16"/>
        </w:rPr>
        <w:t xml:space="preserve"> Değerli kağıt ve damga pulu satışlarında komisyon bedelleri üzerinden % 20,</w:t>
      </w:r>
    </w:p>
    <w:p w:rsidR="0027655E" w:rsidRDefault="0027655E" w:rsidP="0027655E">
      <w:pPr>
        <w:pStyle w:val="EnvelopeReturn"/>
        <w:ind w:firstLine="708"/>
        <w:rPr>
          <w:rFonts w:ascii="Verdana" w:hAnsi="Verdana" w:cs="Tahoma"/>
          <w:color w:val="000000"/>
          <w:spacing w:val="-2"/>
          <w:sz w:val="16"/>
          <w:szCs w:val="16"/>
        </w:rPr>
      </w:pPr>
      <w:r>
        <w:rPr>
          <w:rFonts w:ascii="Verdana" w:hAnsi="Verdana" w:cs="Tahoma"/>
          <w:color w:val="000000"/>
          <w:spacing w:val="-2"/>
          <w:sz w:val="16"/>
          <w:szCs w:val="16"/>
        </w:rPr>
        <w:t xml:space="preserve">                        </w:t>
      </w:r>
      <w:r>
        <w:rPr>
          <w:rFonts w:ascii="Verdana" w:hAnsi="Verdana" w:cs="Tahoma"/>
          <w:b/>
          <w:bCs/>
          <w:color w:val="000000"/>
          <w:spacing w:val="-2"/>
          <w:sz w:val="16"/>
          <w:szCs w:val="16"/>
        </w:rPr>
        <w:t>c)</w:t>
      </w:r>
      <w:r>
        <w:rPr>
          <w:rFonts w:ascii="Verdana" w:hAnsi="Verdana" w:cs="Tahoma"/>
          <w:color w:val="000000"/>
          <w:spacing w:val="-2"/>
          <w:sz w:val="16"/>
          <w:szCs w:val="16"/>
        </w:rPr>
        <w:t xml:space="preserve"> Diğer mal alımları için % 5,</w:t>
      </w:r>
    </w:p>
    <w:p w:rsidR="0027655E" w:rsidRDefault="0027655E" w:rsidP="0027655E">
      <w:pPr>
        <w:pStyle w:val="EnvelopeReturn"/>
        <w:ind w:firstLine="708"/>
        <w:rPr>
          <w:rFonts w:ascii="Verdana" w:hAnsi="Verdana" w:cs="Tahoma"/>
          <w:color w:val="000000"/>
          <w:spacing w:val="-2"/>
          <w:sz w:val="16"/>
          <w:szCs w:val="16"/>
        </w:rPr>
      </w:pPr>
      <w:r>
        <w:rPr>
          <w:rFonts w:ascii="Verdana" w:hAnsi="Verdana" w:cs="Tahoma"/>
          <w:color w:val="000000"/>
          <w:spacing w:val="-2"/>
          <w:sz w:val="16"/>
          <w:szCs w:val="16"/>
        </w:rPr>
        <w:t xml:space="preserve">                        </w:t>
      </w:r>
      <w:r>
        <w:rPr>
          <w:rFonts w:ascii="Verdana" w:hAnsi="Verdana" w:cs="Tahoma"/>
          <w:b/>
          <w:bCs/>
          <w:color w:val="000000"/>
          <w:spacing w:val="-2"/>
          <w:sz w:val="16"/>
          <w:szCs w:val="16"/>
        </w:rPr>
        <w:t>d)</w:t>
      </w:r>
      <w:r>
        <w:rPr>
          <w:rFonts w:ascii="Verdana" w:hAnsi="Verdana" w:cs="Tahoma"/>
          <w:color w:val="000000"/>
          <w:spacing w:val="-2"/>
          <w:sz w:val="16"/>
          <w:szCs w:val="16"/>
        </w:rPr>
        <w:t xml:space="preserve"> Diğer hizmet alımları ((a), (b) ve (c) alt bentleri hariç olmak üzere mal ve hizmet bedelinin ayrılamaması hali de bu kapsamdadır) için % 10, </w:t>
      </w:r>
      <w:r>
        <w:rPr>
          <w:rFonts w:ascii="Verdana" w:hAnsi="Verdana" w:cs="Tahoma"/>
          <w:b/>
          <w:bCs/>
          <w:color w:val="000000"/>
          <w:spacing w:val="-2"/>
          <w:sz w:val="16"/>
          <w:szCs w:val="16"/>
        </w:rPr>
        <w:t xml:space="preserve">oranında gelir vergisi tevkifatı yapılır. </w:t>
      </w:r>
    </w:p>
    <w:p w:rsidR="0027655E" w:rsidRDefault="0027655E" w:rsidP="0027655E">
      <w:pPr>
        <w:pStyle w:val="EnvelopeReturn"/>
        <w:rPr>
          <w:rFonts w:ascii="Verdana" w:hAnsi="Verdana" w:cs="Tahoma"/>
          <w:color w:val="000000"/>
          <w:spacing w:val="-2"/>
          <w:sz w:val="16"/>
          <w:szCs w:val="16"/>
        </w:rPr>
      </w:pPr>
      <w:r>
        <w:rPr>
          <w:rFonts w:ascii="Verdana" w:hAnsi="Verdana" w:cs="Tahoma"/>
          <w:b/>
          <w:bCs/>
          <w:color w:val="000000"/>
          <w:spacing w:val="-2"/>
          <w:sz w:val="16"/>
          <w:szCs w:val="16"/>
        </w:rPr>
        <w:t> </w:t>
      </w:r>
    </w:p>
    <w:p w:rsidR="00560B80" w:rsidRDefault="00560B80"/>
    <w:p w:rsidR="00560B80" w:rsidRDefault="00560B80"/>
    <w:p w:rsidR="00560B80" w:rsidRPr="00560B80" w:rsidRDefault="00560B80" w:rsidP="00560B80">
      <w:pPr>
        <w:spacing w:after="48" w:line="240" w:lineRule="auto"/>
        <w:outlineLvl w:val="1"/>
        <w:rPr>
          <w:rFonts w:ascii="Trebuchet MS" w:eastAsia="Times New Roman" w:hAnsi="Trebuchet MS" w:cs="Times New Roman"/>
          <w:color w:val="0A4375"/>
          <w:sz w:val="27"/>
          <w:szCs w:val="27"/>
          <w:lang w:eastAsia="tr-TR"/>
        </w:rPr>
      </w:pPr>
      <w:r w:rsidRPr="00560B80">
        <w:rPr>
          <w:rFonts w:ascii="Trebuchet MS" w:eastAsia="Times New Roman" w:hAnsi="Trebuchet MS" w:cs="Times New Roman"/>
          <w:color w:val="0A4375"/>
          <w:sz w:val="27"/>
          <w:lang w:eastAsia="tr-TR"/>
        </w:rPr>
        <w:t>Gider Pusulası Ve Tevkifat Uygulaması</w:t>
      </w:r>
      <w:r w:rsidRPr="00560B80">
        <w:rPr>
          <w:rFonts w:ascii="Trebuchet MS" w:eastAsia="Times New Roman" w:hAnsi="Trebuchet MS" w:cs="Times New Roman"/>
          <w:color w:val="0A4375"/>
          <w:sz w:val="27"/>
          <w:szCs w:val="27"/>
          <w:lang w:eastAsia="tr-TR"/>
        </w:rPr>
        <w:t xml:space="preserve"> </w:t>
      </w:r>
    </w:p>
    <w:p w:rsidR="00560B80" w:rsidRPr="00560B80" w:rsidRDefault="00560B80" w:rsidP="00560B80">
      <w:pPr>
        <w:spacing w:after="0" w:line="240" w:lineRule="auto"/>
        <w:rPr>
          <w:rFonts w:ascii="Verdana" w:eastAsia="Times New Roman" w:hAnsi="Verdana" w:cs="Times New Roman"/>
          <w:color w:val="072B4B"/>
          <w:sz w:val="18"/>
          <w:szCs w:val="18"/>
          <w:lang w:eastAsia="tr-TR"/>
        </w:rPr>
      </w:pPr>
      <w:r w:rsidRPr="00560B80">
        <w:rPr>
          <w:rFonts w:ascii="Verdana" w:eastAsia="Times New Roman" w:hAnsi="Verdana" w:cs="Times New Roman"/>
          <w:color w:val="072B4B"/>
          <w:sz w:val="18"/>
          <w:szCs w:val="18"/>
          <w:lang w:eastAsia="tr-TR"/>
        </w:rPr>
        <w:t>Bu yazımızda “Gider pusulası nedir? Hangi durumlarda, kimlere düzenlenir? Düzenlenen her gider pusulasına tevkifat uygulanır mı?” gibi sorulara yanıt bulacağız.</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İlk önce gider pusulasının tamımını yaparak başlayalım.</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Gider pusulası; fatura düzenlenmesinin olanak dışı olduğu durumlarda, kayıtların belgelenmesini sağlama amacına yönelik olarak düzenlenen Vergi Usul Kanunu’nun (VUK) 234.maddesinde yer alan bir belgedir. Başka bir anlatımla, fatura istemek ve almak mecburiyetinde olanların fatura verme yükümlülüğü bulunmayan şahıslar ile olan ilişkileri belgelenmektedir.</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Gider pusulası; Birinci ve ikinci sınıf tüccarlar, kazancı basit usulde tespit edilenlerle defter tutmak zorunda olan serbest meslek erbabının ve çiftçilerin:Vergiden muaf esnaf ‘a yaptırdıkları işler veya onlardan satın aldıkları emtia için bir gider pusulası tanzim ederek işi yapana/emtiayı satana imza ettirmek zorunda oldukları belgedir. Düzenlenen gider pusulası vergiden muaf esnaf tarafından verilmiş fatura hükmündedir.</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b/>
          <w:bCs/>
          <w:color w:val="072B4B"/>
          <w:sz w:val="18"/>
          <w:szCs w:val="18"/>
          <w:lang w:eastAsia="tr-TR"/>
        </w:rPr>
        <w:t>Gider Pusulasında Yer Alması Gereken Bilgiler Nelerdir ?</w:t>
      </w:r>
      <w:r w:rsidRPr="00560B80">
        <w:rPr>
          <w:rFonts w:ascii="Verdana" w:eastAsia="Times New Roman" w:hAnsi="Verdana" w:cs="Times New Roman"/>
          <w:color w:val="072B4B"/>
          <w:sz w:val="18"/>
          <w:szCs w:val="18"/>
          <w:lang w:eastAsia="tr-TR"/>
        </w:rPr>
        <w:br/>
        <w:t>* İşin mahiyeti</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Cinsi</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Adedi</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Fiyatı</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Tutarı</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Toplamı</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Tevkif edilen vergi oranı</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Net tutarı</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İşi yaptıran ile yapanın veya emtiayı satın alan ile satanın adları soyadları (tüzel kişilerde unvanları)</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Adresleri</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Vergi dairesi ve hesap numarası</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Seri ve sıra numarası</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Düzenleme tarihi</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Gider pusulası en az iki nüsha olarak düzenlenmeli, bir nüshası işi yapana/malı satana verilmelidir. En az iki nüsha olakar düzenlenmeyen ve yukarıda yer alan bilgileri eksik olan gider pusulası hiç düzenlenmemiş sayılır. 01.01.2008 tarihinden itibaren ceza miktarı 149,00 YTL.’den az olmamak üzere bu belgelere yazılması gereken meblağın veya meblağ farkının %10 nispetinde Özel Usulsüzlük cezası kesilmektedir.</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b/>
          <w:bCs/>
          <w:color w:val="072B4B"/>
          <w:sz w:val="18"/>
          <w:szCs w:val="18"/>
          <w:lang w:eastAsia="tr-TR"/>
        </w:rPr>
        <w:t>Her Gider Pusulası Üzerinden Tevkifat Yapılır Mı?</w:t>
      </w:r>
      <w:r w:rsidRPr="00560B80">
        <w:rPr>
          <w:rFonts w:ascii="Verdana" w:eastAsia="Times New Roman" w:hAnsi="Verdana" w:cs="Times New Roman"/>
          <w:color w:val="072B4B"/>
          <w:sz w:val="18"/>
          <w:szCs w:val="18"/>
          <w:lang w:eastAsia="tr-TR"/>
        </w:rPr>
        <w:br/>
        <w:t>Sadece esnaf muaflığından yararlanan kişilere yapılan ödemeler için düzenlenen gider pusulası üzerinden, gelir vergisi tevkifatı yapılması zorunluluğu bulunmaktadır.</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Esnaf muaflığından yararlanan kişilerin dışındaki kişilere gider pusulası düzenlense bile herhangi bir tevkifat yapılması söz konusu değildir. Buna göre, esnaf muaflığından yararlanmayan ve vergi mükellefi olmayan nihai tüketicilerden herhangi bir mal/hizmet alınması durumunda, ödenecek bedel için gider pusulası düzenlenmesi halinde gelir vergisi tevkifatı yapılmayacaktır.</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Örneğin, şirket tarafından nihai tüketiciden alınan otomobil için gider pusulası düzenlenecek ancak tevkifat uygulanmayacaktır.</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Bilgisayar alım satımı yapan bir firmanın, ikinci el bilgisayar/bilgisayar malzemelerini esnaf muaflığından yararlanmayan ve vergi mükellefiyeti olmayan nihai tüketicilerden alması durumunda, ödenecek bedel için “gider pusulası” düzenlemesi gerekmektedir. Ancak, bu bedel üzerinden gelir vergisi tevkifatı yapılmasına gerek yoktur. Esnaf muaflığından yararlananlardan ikinci el bilgisayar /bilgisayar malzemesi alımları karşılığında yapılan ödemelerden, gelir vergisi tevkifatı yapılacaktır.</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b/>
          <w:bCs/>
          <w:color w:val="072B4B"/>
          <w:sz w:val="18"/>
          <w:szCs w:val="18"/>
          <w:lang w:eastAsia="tr-TR"/>
        </w:rPr>
        <w:t>Peki Esnaf Muaflığından Yararlanan Kişiler Kimlerdir?</w:t>
      </w:r>
      <w:r w:rsidRPr="00560B80">
        <w:rPr>
          <w:rFonts w:ascii="Verdana" w:eastAsia="Times New Roman" w:hAnsi="Verdana" w:cs="Times New Roman"/>
          <w:color w:val="072B4B"/>
          <w:sz w:val="18"/>
          <w:szCs w:val="18"/>
          <w:lang w:eastAsia="tr-TR"/>
        </w:rPr>
        <w:br/>
        <w:t>En sık karşılaşabileceğimiz esnaf muaflığından yararlanan kişileri;</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Bir işyeri açmaksızın gezici olarak ve doğrudan doğruya müstehlike iş yapan hallaç, kalaycı, lehimci, musluk tamircisi, çilingir, ayakkabı tamircisi, kundura boyacısı, berber, nalbant, fotoğrafçı, odun ve kömür kırıcısı, çamaşır yıkayıcısı ve hamallar gibi küçük sanat erbabı,</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Evlerde kullanılan dikiş, nakış, mutfak robotu, ütü ve benzeri makine ve aletler hariç olmak üzere, muharrik kuvvet kullanmamak ve dışarıdan işçi almamak şartıyla oturdukları evlerde imal ettikleri havlu, örtü, çarşaf, çorap, halı, kilim, dokuma mamulleri, kırpıntı deriden üretilen mamuller, örtü, dantel, her nevi nakış işleri ve turistik eşya, hasır sepet, süpürge, paspas, fırça, yapma çiçek, pul payet, boncuk işleme, tığ örtü işleri, ip ve urganları, tarhana, erişte, mantı gibi ürünleri işyeri açmaksızın satanlar,</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Motorlu nakil vasıtalarla kullanmamak şartıyla gezici olarak veya işyeri açmaksızın perakende ticaret ile iştigal edenler, olarak kısaca sıralayabiliriz.</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Diyelim ki, firmanızın mallarını taşımak için bir hamala ihtiyaç duydunuz yada çilingir çağırmak zorunda kaldınız. Bu durumda esnaf muaflığından yararlanan bu kişilerin vermiş olduğu hizmetler karşılığında iki nüsha olarak gider pusulası düzenlemeniz ve üzerinden tevkifat ayırmanız gerekmektedir. (Bu işi yapanların bir işyerinin olmaması, gezici olarak bu işi yapmış olmaları gerekmektedir.)</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b/>
          <w:bCs/>
          <w:color w:val="072B4B"/>
          <w:sz w:val="18"/>
          <w:szCs w:val="18"/>
          <w:lang w:eastAsia="tr-TR"/>
        </w:rPr>
        <w:t>Hangi Mal ve Hizmet İçin, Hangi Oranda Tevkifat Uygulamamız Gerekir?</w:t>
      </w:r>
      <w:r w:rsidRPr="00560B80">
        <w:rPr>
          <w:rFonts w:ascii="Verdana" w:eastAsia="Times New Roman" w:hAnsi="Verdana" w:cs="Times New Roman"/>
          <w:color w:val="072B4B"/>
          <w:sz w:val="18"/>
          <w:szCs w:val="18"/>
          <w:lang w:eastAsia="tr-TR"/>
        </w:rPr>
        <w:br/>
        <w:t>a- Havlu, çarşaf, çorap, halı, kilim, dokuma mamülleri, örgü, dantel, her nevi nakış işleri ve her nevi turistik eşya, hasır, sepet, süpürge, paspas, fırça, yapma çiçek ve benzeri emtia bedelleri veya bu emtianın imalinde ödenen hizmet bedelleri üzerinden %2</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b- Hurda mal alımları için %2</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c- Diğer mal alımları için %5</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 xml:space="preserve">d- Diğer hizmet alımları (a, b ve c alt bentleri hariç olmak üzere mal ve hizmet bedelinin ayrılamaması hali de bu kapsamdadır.) için %10 oranında gelir vergisi tevkifatı yapılacaktır. </w:t>
      </w:r>
      <w:r w:rsidRPr="00560B80">
        <w:rPr>
          <w:rFonts w:ascii="Verdana" w:eastAsia="Times New Roman" w:hAnsi="Verdana" w:cs="Times New Roman"/>
          <w:color w:val="072B4B"/>
          <w:sz w:val="18"/>
          <w:szCs w:val="18"/>
          <w:lang w:eastAsia="tr-TR"/>
        </w:rPr>
        <w:br/>
      </w:r>
      <w:r w:rsidRPr="00560B80">
        <w:rPr>
          <w:rFonts w:ascii="Verdana" w:eastAsia="Times New Roman" w:hAnsi="Verdana" w:cs="Times New Roman"/>
          <w:color w:val="072B4B"/>
          <w:sz w:val="18"/>
          <w:szCs w:val="18"/>
          <w:lang w:eastAsia="tr-TR"/>
        </w:rPr>
        <w:br/>
        <w:t>Füsun ERDOĞAN</w:t>
      </w:r>
      <w:r w:rsidRPr="00560B80">
        <w:rPr>
          <w:rFonts w:ascii="Verdana" w:eastAsia="Times New Roman" w:hAnsi="Verdana" w:cs="Times New Roman"/>
          <w:color w:val="072B4B"/>
          <w:sz w:val="18"/>
          <w:szCs w:val="18"/>
          <w:lang w:eastAsia="tr-TR"/>
        </w:rPr>
        <w:br/>
        <w:t xml:space="preserve">KobiFinans Vergi Danışmanı/Serbest Muhasebeci Mali Müşavir </w:t>
      </w:r>
    </w:p>
    <w:p w:rsidR="0027655E" w:rsidRDefault="0027655E" w:rsidP="00560B80">
      <w:pPr>
        <w:spacing w:after="105" w:line="240" w:lineRule="auto"/>
        <w:rPr>
          <w:rFonts w:ascii="Verdana" w:eastAsia="Times New Roman" w:hAnsi="Verdana" w:cs="Times New Roman"/>
          <w:color w:val="072B4B"/>
          <w:sz w:val="18"/>
          <w:lang w:eastAsia="tr-TR"/>
        </w:rPr>
      </w:pPr>
    </w:p>
    <w:p w:rsidR="0027655E" w:rsidRDefault="0027655E" w:rsidP="0027655E">
      <w:pPr>
        <w:pStyle w:val="EnvelopeReturn"/>
        <w:ind w:left="720" w:hanging="360"/>
        <w:rPr>
          <w:rFonts w:ascii="Verdana" w:hAnsi="Verdana" w:cs="Tahoma"/>
          <w:color w:val="000000"/>
          <w:spacing w:val="-2"/>
          <w:sz w:val="16"/>
          <w:szCs w:val="16"/>
        </w:rPr>
      </w:pPr>
      <w:r>
        <w:rPr>
          <w:rFonts w:ascii="Verdana" w:hAnsi="Verdana" w:cs="Tahoma"/>
          <w:b/>
          <w:bCs/>
          <w:color w:val="000000"/>
          <w:spacing w:val="-2"/>
          <w:sz w:val="16"/>
          <w:szCs w:val="16"/>
        </w:rPr>
        <w:t>21.</w:t>
      </w:r>
      <w:r>
        <w:rPr>
          <w:b/>
          <w:bCs/>
          <w:color w:val="000000"/>
          <w:spacing w:val="-2"/>
          <w:sz w:val="14"/>
          <w:szCs w:val="14"/>
        </w:rPr>
        <w:t xml:space="preserve">  </w:t>
      </w:r>
      <w:r>
        <w:rPr>
          <w:rFonts w:ascii="Verdana" w:hAnsi="Verdana" w:cs="Tahoma"/>
          <w:b/>
          <w:bCs/>
          <w:color w:val="000000"/>
          <w:spacing w:val="-2"/>
          <w:sz w:val="16"/>
          <w:szCs w:val="16"/>
        </w:rPr>
        <w:t>Belgesi alınamayan harcamalar gider yazılabilir mi?</w:t>
      </w:r>
    </w:p>
    <w:p w:rsidR="0027655E" w:rsidRDefault="0027655E" w:rsidP="0027655E">
      <w:pPr>
        <w:pStyle w:val="EnvelopeReturn"/>
        <w:ind w:firstLine="708"/>
        <w:rPr>
          <w:rFonts w:ascii="Verdana" w:hAnsi="Verdana" w:cs="Tahoma"/>
          <w:color w:val="000000"/>
          <w:spacing w:val="-2"/>
          <w:sz w:val="16"/>
          <w:szCs w:val="16"/>
        </w:rPr>
      </w:pPr>
      <w:r>
        <w:rPr>
          <w:rFonts w:ascii="Verdana" w:hAnsi="Verdana" w:cs="Tahoma"/>
          <w:color w:val="000000"/>
          <w:spacing w:val="-2"/>
          <w:sz w:val="16"/>
          <w:szCs w:val="16"/>
        </w:rPr>
        <w:t>Vergi  Usul  Kanunu’nun  228‘nci  maddesinde; “Aşağıdaki giderler için ispat edici kâğıt aranmaz: </w:t>
      </w:r>
    </w:p>
    <w:p w:rsidR="0027655E" w:rsidRDefault="0027655E" w:rsidP="0027655E">
      <w:pPr>
        <w:pStyle w:val="EnvelopeReturn"/>
        <w:rPr>
          <w:rFonts w:ascii="Verdana" w:hAnsi="Verdana" w:cs="Tahoma"/>
          <w:color w:val="000000"/>
          <w:spacing w:val="-2"/>
          <w:sz w:val="16"/>
          <w:szCs w:val="16"/>
        </w:rPr>
      </w:pPr>
      <w:r>
        <w:rPr>
          <w:rFonts w:ascii="Verdana" w:hAnsi="Verdana" w:cs="Tahoma"/>
          <w:color w:val="000000"/>
          <w:spacing w:val="-2"/>
          <w:sz w:val="16"/>
          <w:szCs w:val="16"/>
        </w:rPr>
        <w:t> 1. Örf ve teamüle göre bir vesikaya istinat ettirilmesi mutat olmayan müteferrik giderler;</w:t>
      </w:r>
    </w:p>
    <w:p w:rsidR="0027655E" w:rsidRDefault="0027655E" w:rsidP="0027655E">
      <w:pPr>
        <w:pStyle w:val="EnvelopeReturn"/>
        <w:rPr>
          <w:rFonts w:ascii="Verdana" w:hAnsi="Verdana" w:cs="Tahoma"/>
          <w:color w:val="000000"/>
          <w:spacing w:val="-2"/>
          <w:sz w:val="16"/>
          <w:szCs w:val="16"/>
        </w:rPr>
      </w:pPr>
      <w:r>
        <w:rPr>
          <w:rFonts w:ascii="Verdana" w:hAnsi="Verdana" w:cs="Tahoma"/>
          <w:color w:val="000000"/>
          <w:spacing w:val="-2"/>
          <w:sz w:val="16"/>
          <w:szCs w:val="16"/>
        </w:rPr>
        <w:t>2. Vesikasının teminine imkân olmayan giderler;</w:t>
      </w:r>
    </w:p>
    <w:p w:rsidR="0027655E" w:rsidRDefault="0027655E" w:rsidP="0027655E">
      <w:pPr>
        <w:pStyle w:val="EnvelopeReturn"/>
        <w:rPr>
          <w:rFonts w:ascii="Verdana" w:hAnsi="Verdana" w:cs="Tahoma"/>
          <w:color w:val="000000"/>
          <w:spacing w:val="-2"/>
          <w:sz w:val="16"/>
          <w:szCs w:val="16"/>
        </w:rPr>
      </w:pPr>
      <w:r>
        <w:rPr>
          <w:rFonts w:ascii="Verdana" w:hAnsi="Verdana" w:cs="Tahoma"/>
          <w:color w:val="000000"/>
          <w:spacing w:val="-2"/>
          <w:sz w:val="16"/>
          <w:szCs w:val="16"/>
        </w:rPr>
        <w:t>3. Vergi kanunlarına göre götürü olarak tespit edilen giderler.</w:t>
      </w:r>
    </w:p>
    <w:p w:rsidR="0027655E" w:rsidRDefault="0027655E" w:rsidP="0027655E">
      <w:pPr>
        <w:pStyle w:val="EnvelopeReturn"/>
        <w:rPr>
          <w:rFonts w:ascii="Verdana" w:hAnsi="Verdana" w:cs="Tahoma"/>
          <w:color w:val="000000"/>
          <w:spacing w:val="-2"/>
          <w:sz w:val="16"/>
          <w:szCs w:val="16"/>
        </w:rPr>
      </w:pPr>
      <w:r>
        <w:rPr>
          <w:rFonts w:ascii="Verdana" w:hAnsi="Verdana" w:cs="Tahoma"/>
          <w:color w:val="000000"/>
          <w:spacing w:val="-2"/>
          <w:sz w:val="16"/>
          <w:szCs w:val="16"/>
        </w:rPr>
        <w:t>1 ve 2 numaralı fıkralarda yazılı giderlerin gerçek miktarları üzerinden kayıtlara geçirilmesi ve miktarlarının işin genişliğine ve mahiyetine uygun bulunması şarttır. Belgesiz yapılan harcamalar VUK’nun 228’nci maddesinde de belirtildiği gibi vesikaya dayandırılması mümkün olmayan giderlerdir. Örneğin şehir içi dolmuş ve otobüs giderlerinde belge alınamadığı bilinmektedir. Günlük on milyon liralık otobüs veya dolmuş harcaması yapıldıysa, bir müteferrik gider listesi düzenlenip şehir içinde gidilen yerler ve ödenen bedeller dökülerek on milyonluk harcamanın gider listesi yapılmalıdır.</w:t>
      </w:r>
    </w:p>
    <w:p w:rsidR="00560B80" w:rsidRPr="00560B80" w:rsidRDefault="00560B80" w:rsidP="00560B80">
      <w:pPr>
        <w:spacing w:after="105" w:line="240" w:lineRule="auto"/>
        <w:rPr>
          <w:rFonts w:ascii="Verdana" w:eastAsia="Times New Roman" w:hAnsi="Verdana" w:cs="Times New Roman"/>
          <w:color w:val="072B4B"/>
          <w:sz w:val="18"/>
          <w:szCs w:val="18"/>
          <w:lang w:eastAsia="tr-TR"/>
        </w:rPr>
      </w:pPr>
      <w:r w:rsidRPr="00560B80">
        <w:rPr>
          <w:rFonts w:ascii="Verdana" w:eastAsia="Times New Roman" w:hAnsi="Verdana" w:cs="Times New Roman"/>
          <w:vanish/>
          <w:color w:val="072B4B"/>
          <w:sz w:val="18"/>
          <w:lang w:eastAsia="tr-TR"/>
        </w:rPr>
        <w:t> </w:t>
      </w:r>
    </w:p>
    <w:tbl>
      <w:tblPr>
        <w:tblW w:w="8265" w:type="dxa"/>
        <w:jc w:val="center"/>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tblPr>
      <w:tblGrid>
        <w:gridCol w:w="5972"/>
        <w:gridCol w:w="1293"/>
        <w:gridCol w:w="1000"/>
      </w:tblGrid>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Gider Pusulası İle Belgelendirilecek Haller</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İlgili Madde veya Tebliğ</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Stopajı Tabi Olup olmadığı</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 xml:space="preserve">Motorlu nakil vasıtaları kullanmamak şartı ile gezici olarak veya bir işyeri açmaksızın perakende ticaret yapanlardan olan mal ve hizmet alımları </w:t>
            </w:r>
            <w:r w:rsidRPr="00560B80">
              <w:rPr>
                <w:rFonts w:ascii="Verdana" w:eastAsia="Times New Roman" w:hAnsi="Verdana" w:cs="Times New Roman"/>
                <w:b/>
                <w:color w:val="000066"/>
                <w:sz w:val="15"/>
                <w:szCs w:val="15"/>
                <w:lang w:eastAsia="tr-TR"/>
              </w:rPr>
              <w:t>(Giyim eşyaları, zati ve süs eşyaları, değeri yüksek olan ev eşyaları ile Pazar takibi suretiyle gıda, bakkaliye ve temizlik maddelerini ve sabit işyerlerinin önünde sergi açmak suretiyle o iş yerlerinde satışı yapılan aynı nevinden malları satanlar hariç)</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GVK. Md. 9</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Bir işyeri açmaksızın gezici olarak ve doğrudan doğruya müstehlike iş yapan hallaç, kalaycı, lehimci, musluk tamircisi, çilingir, ayakkabı tamircisi, kundura boyacısı, berber, nalbant, fotoğrafcı, odun ve kömür kırıcısı çamaşır yıkayıcısı ve hamallar gibi küçük sanat erbabından olan mal ve hizmet alımları</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GVK. Md. 9</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Köylerde gezici olarak her türlü sanat işleriyle uğraşanlar ile aynı yerlerde aynı işleri bir iş yeri açmak suretiyle yapanlardan basit usulde vergilendirmenin genel şartlarını taşıyanlardan olan mal ve hizmet alımları (GVK. 47-51)</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GVK. Md. 9</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Kendi işinde bilfiil çalışmak veya başında bulunmak, gerçek usulde gelir vergisine tabi olmamak kaydıyla; hariçten işçi almamak,muharrik kuvvet kullanmamak kayıt ve şartı ile oturdukları evlerde imal ettikleri havlu, örtü, çarşaf, çorap,halı, kilim, dokuma mamülleri, örgü dantel, her nevi nakış işlerini ve her nevi turistik eşya, hasır, sepet, süpürge, paspas, fırça, yapma çiçek, ip ve urganları dükkan açmaksızın satanlardan olan mal ve hizmet alımlarıa</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GVK. Md. 9</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Yukarıda 1-6 numaralı bentlerde sözü edilen işlere benzerlik gösterdikleri Danıştay’ın muvafık mütaalası üzerine, Maliye Bakanlığınca kabul ve ilan olunan ticaret ve sanat işleriyle iştigal edenlerden olan mal ve hizmet alımları</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GVK. Md. 9</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GVK’nun 18 maddesinde sayılan faaliyetleri icra eden serbest meslek erbabından olan mal ve hizmet alımları</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GVK. Md. 18</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 xml:space="preserve">Birinci ve ikinci sınıf tüccarlara, altın mücevherat gibi zati eşyalarını satan kimselerden yapılan alımlar  </w:t>
            </w:r>
            <w:r w:rsidRPr="00560B80">
              <w:rPr>
                <w:rFonts w:ascii="Verdana" w:eastAsia="Times New Roman" w:hAnsi="Verdana" w:cs="Times New Roman"/>
                <w:b/>
                <w:color w:val="000066"/>
                <w:sz w:val="15"/>
                <w:szCs w:val="15"/>
                <w:lang w:eastAsia="tr-TR"/>
              </w:rPr>
              <w:t xml:space="preserve">(Nihai tüketicilerden otomobil alımı vb) </w:t>
            </w:r>
            <w:r w:rsidRPr="00560B80">
              <w:rPr>
                <w:rFonts w:ascii="Verdana" w:eastAsia="Times New Roman" w:hAnsi="Verdana" w:cs="Times New Roman"/>
                <w:color w:val="000066"/>
                <w:sz w:val="15"/>
                <w:szCs w:val="15"/>
                <w:lang w:eastAsia="tr-TR"/>
              </w:rPr>
              <w:t>(16.11.99 B.07.06d.044/4422-33/49938 mukteza)</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 xml:space="preserve">VUK. Md. 234, </w:t>
            </w:r>
          </w:p>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2. fıkra</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 Değildir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Tüketicilerin satın aldıkları mal ve hizmetlerin iadesi veya alınan malların değiştirilmesi halinde.</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KDV.GT.54</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 Değildir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Taksitli satışlarda tüketicilerin taksitlerini zamanından önce ödemek suretiyle faizde bir indirime gidilmesi halinde</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KDV. GT. 54</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 Değildir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4077 sayılı  Tüketicinin Korunması Hakkında Kanuna göre gerçek ve tüzel kişilerin mallarını iş akdine bağlı olmaksızın bunlar adına kapı kapı dolaşıp satanlara ödenen komisyon prim ve benzeri ödemeleri.</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GVK. 94/10.b</w:t>
            </w:r>
          </w:p>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GVK. GT. 215</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Basit usule tabi mükelleflerin taşıtlar hariç sabit kıymet satışlarında (Basit Usule tabi mükelleflerin sattıkları taşıt için belge düzenlemezler. Alıcılar noter satışını direkt kaydederler.)</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GVK. GT. 230</w:t>
            </w: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27655E"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60B80">
              <w:rPr>
                <w:rFonts w:ascii="Verdana" w:eastAsia="Times New Roman" w:hAnsi="Verdana" w:cs="Times New Roman"/>
                <w:color w:val="000066"/>
                <w:sz w:val="15"/>
                <w:szCs w:val="15"/>
                <w:lang w:eastAsia="tr-TR"/>
              </w:rPr>
              <w:t>Tabidir</w:t>
            </w: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560B80"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p>
        </w:tc>
      </w:tr>
      <w:tr w:rsidR="0027655E" w:rsidRPr="00560B80" w:rsidTr="005F467C">
        <w:trPr>
          <w:tblCellSpacing w:w="15" w:type="dxa"/>
          <w:jc w:val="center"/>
        </w:trPr>
        <w:tc>
          <w:tcPr>
            <w:tcW w:w="5927"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27655E" w:rsidRPr="00560B80" w:rsidRDefault="0027655E" w:rsidP="005F467C">
            <w:pPr>
              <w:tabs>
                <w:tab w:val="left" w:pos="1020"/>
                <w:tab w:val="left" w:pos="1880"/>
                <w:tab w:val="right" w:pos="2460"/>
              </w:tabs>
              <w:spacing w:before="80" w:after="80" w:line="220" w:lineRule="exact"/>
              <w:jc w:val="both"/>
              <w:rPr>
                <w:rFonts w:ascii="Times New Roman" w:eastAsia="Times New Roman" w:hAnsi="Times New Roman" w:cs="Times New Roman"/>
                <w:color w:val="000000"/>
                <w:sz w:val="24"/>
                <w:szCs w:val="24"/>
                <w:lang w:eastAsia="tr-TR"/>
              </w:rPr>
            </w:pPr>
          </w:p>
        </w:tc>
        <w:tc>
          <w:tcPr>
            <w:tcW w:w="955" w:type="dxa"/>
            <w:tcBorders>
              <w:top w:val="outset" w:sz="6" w:space="0" w:color="FFFFFF"/>
              <w:left w:val="outset" w:sz="6" w:space="0" w:color="FFFFFF"/>
              <w:bottom w:val="outset" w:sz="6" w:space="0" w:color="FFFFFF"/>
              <w:right w:val="outset" w:sz="6" w:space="0" w:color="FFFFFF"/>
            </w:tcBorders>
            <w:vAlign w:val="center"/>
            <w:hideMark/>
          </w:tcPr>
          <w:p w:rsidR="00560B80" w:rsidRPr="00560B80" w:rsidRDefault="00560B80" w:rsidP="005F467C">
            <w:pPr>
              <w:spacing w:before="100" w:beforeAutospacing="1" w:after="100" w:afterAutospacing="1" w:line="240" w:lineRule="auto"/>
              <w:rPr>
                <w:rFonts w:ascii="Times New Roman" w:eastAsia="Times New Roman" w:hAnsi="Times New Roman" w:cs="Times New Roman"/>
                <w:color w:val="000000"/>
                <w:sz w:val="24"/>
                <w:szCs w:val="24"/>
                <w:lang w:eastAsia="tr-TR"/>
              </w:rPr>
            </w:pPr>
          </w:p>
        </w:tc>
      </w:tr>
    </w:tbl>
    <w:p w:rsidR="0027655E" w:rsidRDefault="0027655E" w:rsidP="0027655E"/>
    <w:p w:rsidR="00560B80" w:rsidRDefault="00560B80"/>
    <w:sectPr w:rsidR="00560B80" w:rsidSect="00BF74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F2DA3"/>
    <w:multiLevelType w:val="multilevel"/>
    <w:tmpl w:val="5602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0B80"/>
    <w:rsid w:val="0027655E"/>
    <w:rsid w:val="00560B80"/>
    <w:rsid w:val="00BF74CB"/>
    <w:rsid w:val="00FC41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CB"/>
  </w:style>
  <w:style w:type="paragraph" w:styleId="Heading2">
    <w:name w:val="heading 2"/>
    <w:basedOn w:val="Normal"/>
    <w:link w:val="Heading2Char"/>
    <w:uiPriority w:val="9"/>
    <w:qFormat/>
    <w:rsid w:val="00560B80"/>
    <w:pPr>
      <w:spacing w:before="100" w:beforeAutospacing="1" w:after="100" w:afterAutospacing="1" w:line="240" w:lineRule="auto"/>
      <w:outlineLvl w:val="1"/>
    </w:pPr>
    <w:rPr>
      <w:rFonts w:ascii="Trebuchet MS" w:eastAsia="Times New Roman" w:hAnsi="Trebuchet MS" w:cs="Times New Roman"/>
      <w:color w:val="137CD8"/>
      <w:sz w:val="33"/>
      <w:szCs w:val="33"/>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B8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Hyperlink">
    <w:name w:val="Hyperlink"/>
    <w:basedOn w:val="DefaultParagraphFont"/>
    <w:uiPriority w:val="99"/>
    <w:semiHidden/>
    <w:unhideWhenUsed/>
    <w:rsid w:val="00560B80"/>
    <w:rPr>
      <w:color w:val="0000FF"/>
      <w:u w:val="single"/>
    </w:rPr>
  </w:style>
  <w:style w:type="character" w:customStyle="1" w:styleId="Heading2Char">
    <w:name w:val="Heading 2 Char"/>
    <w:basedOn w:val="DefaultParagraphFont"/>
    <w:link w:val="Heading2"/>
    <w:uiPriority w:val="9"/>
    <w:rsid w:val="00560B80"/>
    <w:rPr>
      <w:rFonts w:ascii="Trebuchet MS" w:eastAsia="Times New Roman" w:hAnsi="Trebuchet MS" w:cs="Times New Roman"/>
      <w:color w:val="137CD8"/>
      <w:sz w:val="33"/>
      <w:szCs w:val="33"/>
      <w:lang w:eastAsia="tr-TR"/>
    </w:rPr>
  </w:style>
  <w:style w:type="character" w:customStyle="1" w:styleId="articleseparator">
    <w:name w:val="article_separator"/>
    <w:basedOn w:val="DefaultParagraphFont"/>
    <w:rsid w:val="00560B80"/>
    <w:rPr>
      <w:vanish/>
      <w:webHidden w:val="0"/>
      <w:specVanish w:val="0"/>
    </w:rPr>
  </w:style>
  <w:style w:type="character" w:customStyle="1" w:styleId="art-postheader">
    <w:name w:val="art-postheader"/>
    <w:basedOn w:val="DefaultParagraphFont"/>
    <w:rsid w:val="00560B80"/>
  </w:style>
  <w:style w:type="paragraph" w:styleId="EnvelopeReturn">
    <w:name w:val="envelope return"/>
    <w:basedOn w:val="Normal"/>
    <w:uiPriority w:val="99"/>
    <w:unhideWhenUsed/>
    <w:rsid w:val="002765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14861984">
      <w:bodyDiv w:val="1"/>
      <w:marLeft w:val="0"/>
      <w:marRight w:val="0"/>
      <w:marTop w:val="0"/>
      <w:marBottom w:val="0"/>
      <w:divBdr>
        <w:top w:val="none" w:sz="0" w:space="0" w:color="auto"/>
        <w:left w:val="none" w:sz="0" w:space="0" w:color="auto"/>
        <w:bottom w:val="none" w:sz="0" w:space="0" w:color="auto"/>
        <w:right w:val="none" w:sz="0" w:space="0" w:color="auto"/>
      </w:divBdr>
      <w:divsChild>
        <w:div w:id="1642692595">
          <w:marLeft w:val="0"/>
          <w:marRight w:val="0"/>
          <w:marTop w:val="0"/>
          <w:marBottom w:val="0"/>
          <w:divBdr>
            <w:top w:val="none" w:sz="0" w:space="0" w:color="auto"/>
            <w:left w:val="none" w:sz="0" w:space="0" w:color="auto"/>
            <w:bottom w:val="none" w:sz="0" w:space="0" w:color="auto"/>
            <w:right w:val="none" w:sz="0" w:space="0" w:color="auto"/>
          </w:divBdr>
          <w:divsChild>
            <w:div w:id="753547831">
              <w:marLeft w:val="0"/>
              <w:marRight w:val="0"/>
              <w:marTop w:val="0"/>
              <w:marBottom w:val="0"/>
              <w:divBdr>
                <w:top w:val="none" w:sz="0" w:space="0" w:color="auto"/>
                <w:left w:val="none" w:sz="0" w:space="0" w:color="auto"/>
                <w:bottom w:val="none" w:sz="0" w:space="0" w:color="auto"/>
                <w:right w:val="none" w:sz="0" w:space="0" w:color="auto"/>
              </w:divBdr>
              <w:divsChild>
                <w:div w:id="635600742">
                  <w:marLeft w:val="0"/>
                  <w:marRight w:val="0"/>
                  <w:marTop w:val="0"/>
                  <w:marBottom w:val="0"/>
                  <w:divBdr>
                    <w:top w:val="none" w:sz="0" w:space="0" w:color="auto"/>
                    <w:left w:val="none" w:sz="0" w:space="0" w:color="auto"/>
                    <w:bottom w:val="none" w:sz="0" w:space="0" w:color="auto"/>
                    <w:right w:val="none" w:sz="0" w:space="0" w:color="auto"/>
                  </w:divBdr>
                  <w:divsChild>
                    <w:div w:id="214004461">
                      <w:marLeft w:val="0"/>
                      <w:marRight w:val="0"/>
                      <w:marTop w:val="0"/>
                      <w:marBottom w:val="30"/>
                      <w:divBdr>
                        <w:top w:val="none" w:sz="0" w:space="0" w:color="auto"/>
                        <w:left w:val="none" w:sz="0" w:space="0" w:color="auto"/>
                        <w:bottom w:val="none" w:sz="0" w:space="0" w:color="auto"/>
                        <w:right w:val="none" w:sz="0" w:space="0" w:color="auto"/>
                      </w:divBdr>
                      <w:divsChild>
                        <w:div w:id="371658079">
                          <w:marLeft w:val="0"/>
                          <w:marRight w:val="0"/>
                          <w:marTop w:val="0"/>
                          <w:marBottom w:val="0"/>
                          <w:divBdr>
                            <w:top w:val="none" w:sz="0" w:space="0" w:color="auto"/>
                            <w:left w:val="none" w:sz="0" w:space="0" w:color="auto"/>
                            <w:bottom w:val="none" w:sz="0" w:space="0" w:color="auto"/>
                            <w:right w:val="none" w:sz="0" w:space="0" w:color="auto"/>
                          </w:divBdr>
                          <w:divsChild>
                            <w:div w:id="551625174">
                              <w:marLeft w:val="105"/>
                              <w:marRight w:val="105"/>
                              <w:marTop w:val="105"/>
                              <w:marBottom w:val="105"/>
                              <w:divBdr>
                                <w:top w:val="none" w:sz="0" w:space="0" w:color="auto"/>
                                <w:left w:val="none" w:sz="0" w:space="0" w:color="auto"/>
                                <w:bottom w:val="none" w:sz="0" w:space="0" w:color="auto"/>
                                <w:right w:val="none" w:sz="0" w:space="0" w:color="auto"/>
                              </w:divBdr>
                              <w:divsChild>
                                <w:div w:id="1443378220">
                                  <w:marLeft w:val="0"/>
                                  <w:marRight w:val="0"/>
                                  <w:marTop w:val="0"/>
                                  <w:marBottom w:val="0"/>
                                  <w:divBdr>
                                    <w:top w:val="none" w:sz="0" w:space="0" w:color="auto"/>
                                    <w:left w:val="none" w:sz="0" w:space="0" w:color="auto"/>
                                    <w:bottom w:val="none" w:sz="0" w:space="0" w:color="auto"/>
                                    <w:right w:val="none" w:sz="0" w:space="0" w:color="auto"/>
                                  </w:divBdr>
                                  <w:divsChild>
                                    <w:div w:id="1996029964">
                                      <w:marLeft w:val="0"/>
                                      <w:marRight w:val="0"/>
                                      <w:marTop w:val="0"/>
                                      <w:marBottom w:val="0"/>
                                      <w:divBdr>
                                        <w:top w:val="none" w:sz="0" w:space="0" w:color="auto"/>
                                        <w:left w:val="none" w:sz="0" w:space="0" w:color="auto"/>
                                        <w:bottom w:val="none" w:sz="0" w:space="0" w:color="auto"/>
                                        <w:right w:val="none" w:sz="0" w:space="0" w:color="auto"/>
                                      </w:divBdr>
                                      <w:divsChild>
                                        <w:div w:id="902176429">
                                          <w:marLeft w:val="0"/>
                                          <w:marRight w:val="0"/>
                                          <w:marTop w:val="0"/>
                                          <w:marBottom w:val="0"/>
                                          <w:divBdr>
                                            <w:top w:val="none" w:sz="0" w:space="0" w:color="auto"/>
                                            <w:left w:val="none" w:sz="0" w:space="0" w:color="auto"/>
                                            <w:bottom w:val="none" w:sz="0" w:space="0" w:color="auto"/>
                                            <w:right w:val="none" w:sz="0" w:space="0" w:color="auto"/>
                                          </w:divBdr>
                                          <w:divsChild>
                                            <w:div w:id="8334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GULGUN</dc:creator>
  <cp:keywords/>
  <dc:description/>
  <cp:lastModifiedBy/>
  <cp:revision>1</cp:revision>
  <dcterms:created xsi:type="dcterms:W3CDTF">2010-06-01T10:56:00Z</dcterms:created>
</cp:coreProperties>
</file>