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51" w:rsidRPr="00890551" w:rsidRDefault="00890551" w:rsidP="00890551">
      <w:pPr>
        <w:spacing w:before="20" w:after="20" w:line="240" w:lineRule="auto"/>
        <w:rPr>
          <w:rFonts w:ascii="Times New Roman" w:eastAsia="Times New Roman" w:hAnsi="Times New Roman" w:cs="Times New Roman"/>
          <w:color w:val="000000"/>
          <w:sz w:val="24"/>
          <w:szCs w:val="24"/>
          <w:lang w:eastAsia="tr-TR"/>
        </w:rPr>
      </w:pPr>
      <w:r w:rsidRPr="00890551">
        <w:rPr>
          <w:rFonts w:ascii="Verdana" w:eastAsia="Times New Roman" w:hAnsi="Verdana" w:cs="Times New Roman"/>
          <w:b/>
          <w:bCs/>
          <w:color w:val="000000"/>
          <w:sz w:val="32"/>
          <w:szCs w:val="32"/>
          <w:lang w:eastAsia="tr-TR"/>
        </w:rPr>
        <w:t>HAYALİ KASA MEVCUDU VE ORTAKLARDAN ALACAKLARIN BEYANINDA ORTAYA ÇIKABİLECEK SORUNLAR</w:t>
      </w:r>
    </w:p>
    <w:p w:rsidR="00890551" w:rsidRPr="00890551" w:rsidRDefault="00890551" w:rsidP="00890551">
      <w:pPr>
        <w:spacing w:before="20" w:after="20" w:line="240" w:lineRule="auto"/>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z w:val="24"/>
          <w:szCs w:val="24"/>
          <w:lang w:eastAsia="tr-TR"/>
        </w:rPr>
        <w:t> </w:t>
      </w:r>
    </w:p>
    <w:p w:rsidR="00890551" w:rsidRPr="00890551" w:rsidRDefault="00890551" w:rsidP="00890551">
      <w:pPr>
        <w:spacing w:before="20" w:after="20" w:line="240" w:lineRule="auto"/>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z w:val="24"/>
          <w:szCs w:val="24"/>
          <w:lang w:eastAsia="tr-TR"/>
        </w:rPr>
        <w:t> </w:t>
      </w:r>
    </w:p>
    <w:p w:rsidR="00890551" w:rsidRPr="00890551" w:rsidRDefault="00890551" w:rsidP="00890551">
      <w:pPr>
        <w:spacing w:after="0" w:line="240" w:lineRule="auto"/>
        <w:jc w:val="both"/>
        <w:rPr>
          <w:rFonts w:ascii="Times New Roman" w:eastAsia="Times New Roman" w:hAnsi="Times New Roman" w:cs="Times New Roman"/>
          <w:color w:val="000000"/>
          <w:sz w:val="24"/>
          <w:szCs w:val="24"/>
          <w:lang w:eastAsia="tr-TR"/>
        </w:rPr>
      </w:pPr>
      <w:r w:rsidRPr="00890551">
        <w:rPr>
          <w:rFonts w:ascii="Verdana" w:eastAsia="Times New Roman" w:hAnsi="Verdana" w:cs="Times New Roman"/>
          <w:b/>
          <w:bCs/>
          <w:color w:val="FF0000"/>
          <w:sz w:val="18"/>
          <w:szCs w:val="18"/>
          <w:lang w:eastAsia="tr-TR"/>
        </w:rPr>
        <w:t>Yaklaşım / Nisan 2011 / Sayı: 220</w:t>
      </w:r>
    </w:p>
    <w:p w:rsidR="00890551" w:rsidRPr="00890551" w:rsidRDefault="00890551" w:rsidP="00890551">
      <w:pPr>
        <w:spacing w:after="0"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z w:val="24"/>
          <w:szCs w:val="24"/>
          <w:lang w:eastAsia="tr-TR"/>
        </w:rPr>
        <w:t> </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b/>
          <w:bCs/>
          <w:color w:val="000000"/>
          <w:lang w:eastAsia="tr-TR"/>
        </w:rPr>
        <w:t>I- GİRİŞ</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pacing w:val="-6"/>
          <w:lang w:eastAsia="tr-TR"/>
        </w:rPr>
        <w:t>Kamuoyunda </w:t>
      </w:r>
      <w:r w:rsidRPr="00890551">
        <w:rPr>
          <w:rFonts w:ascii="Times New Roman" w:eastAsia="Times New Roman" w:hAnsi="Times New Roman" w:cs="Times New Roman"/>
          <w:b/>
          <w:bCs/>
          <w:color w:val="000000"/>
          <w:spacing w:val="-6"/>
          <w:lang w:eastAsia="tr-TR"/>
        </w:rPr>
        <w:t>“Torba Yasa”</w:t>
      </w:r>
      <w:r w:rsidRPr="00890551">
        <w:rPr>
          <w:rFonts w:ascii="Times New Roman" w:eastAsia="Times New Roman" w:hAnsi="Times New Roman" w:cs="Times New Roman"/>
          <w:color w:val="000000"/>
          <w:spacing w:val="-6"/>
          <w:lang w:eastAsia="tr-TR"/>
        </w:rPr>
        <w:t> olarak bilinen 6111 sayılı </w:t>
      </w:r>
      <w:r w:rsidRPr="00890551">
        <w:rPr>
          <w:rFonts w:ascii="Times New Roman" w:eastAsia="Times New Roman" w:hAnsi="Times New Roman" w:cs="Times New Roman"/>
          <w:b/>
          <w:bCs/>
          <w:color w:val="000000"/>
          <w:spacing w:val="-6"/>
          <w:lang w:eastAsia="tr-TR"/>
        </w:rPr>
        <w:t>“</w:t>
      </w:r>
      <w:r w:rsidRPr="00890551">
        <w:rPr>
          <w:rFonts w:ascii="Times New Roman" w:eastAsia="Times New Roman" w:hAnsi="Times New Roman" w:cs="Times New Roman"/>
          <w:b/>
          <w:bCs/>
          <w:color w:val="000000"/>
          <w:lang w:eastAsia="tr-TR"/>
        </w:rPr>
        <w:t>Bazı Alacakların Yeniden Yapılandırılması ile Sosyal Sigortalar ve Genel Sağlık Sigortası Kanunu ve Diğer Bazı Kanun ve Kanun Hükmünde Kararnamelerde Değişiklik Yapılması Hakkında Kanun”</w:t>
      </w:r>
      <w:r w:rsidRPr="00890551">
        <w:rPr>
          <w:rFonts w:ascii="Times New Roman" w:eastAsia="Times New Roman" w:hAnsi="Times New Roman" w:cs="Times New Roman"/>
          <w:color w:val="000000"/>
          <w:lang w:eastAsia="tr-TR"/>
        </w:rPr>
        <w:t>, vergi mükelleflerinin kayıtlarında gözüken hayali kasa mevcudu ve ortaklardan alacakların düzeltilmesine imkan tanımaktadır.</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pacing w:val="-4"/>
          <w:lang w:eastAsia="tr-TR"/>
        </w:rPr>
        <w:t>Genellikle, açıktan yapılan ödemeler ve belgesiz harcamalar </w:t>
      </w:r>
      <w:r w:rsidRPr="00890551">
        <w:rPr>
          <w:rFonts w:ascii="Times New Roman" w:eastAsia="Times New Roman" w:hAnsi="Times New Roman" w:cs="Times New Roman"/>
          <w:b/>
          <w:bCs/>
          <w:color w:val="000000"/>
          <w:spacing w:val="-4"/>
          <w:lang w:eastAsia="tr-TR"/>
        </w:rPr>
        <w:t>“ortaklardan alacaklar”</w:t>
      </w:r>
      <w:r w:rsidRPr="00890551">
        <w:rPr>
          <w:rFonts w:ascii="Times New Roman" w:eastAsia="Times New Roman" w:hAnsi="Times New Roman" w:cs="Times New Roman"/>
          <w:color w:val="000000"/>
          <w:spacing w:val="-4"/>
          <w:lang w:eastAsia="tr-TR"/>
        </w:rPr>
        <w:t> ya da kasa da </w:t>
      </w:r>
      <w:r w:rsidRPr="00890551">
        <w:rPr>
          <w:rFonts w:ascii="Times New Roman" w:eastAsia="Times New Roman" w:hAnsi="Times New Roman" w:cs="Times New Roman"/>
          <w:b/>
          <w:bCs/>
          <w:color w:val="000000"/>
          <w:spacing w:val="-4"/>
          <w:lang w:eastAsia="tr-TR"/>
        </w:rPr>
        <w:t>“nakit para”</w:t>
      </w:r>
      <w:r w:rsidRPr="00890551">
        <w:rPr>
          <w:rFonts w:ascii="Times New Roman" w:eastAsia="Times New Roman" w:hAnsi="Times New Roman" w:cs="Times New Roman"/>
          <w:color w:val="000000"/>
          <w:spacing w:val="-4"/>
          <w:lang w:eastAsia="tr-TR"/>
        </w:rPr>
        <w:t> olarak gözükmekte, vergi incelemelerinde bundan dolayı ciddi sorunlar ortaya çıkabilmektedir. Torba Yasa ile bu sorun çözüme kavuşturulmak istenmiştir.</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6A2FE0">
        <w:rPr>
          <w:rFonts w:ascii="Times New Roman" w:eastAsia="Times New Roman" w:hAnsi="Times New Roman" w:cs="Times New Roman"/>
          <w:color w:val="000000"/>
          <w:highlight w:val="green"/>
          <w:lang w:eastAsia="tr-TR"/>
        </w:rPr>
        <w:t>Bununla beraber, uygulamadan yararlanacak olanların bir süre sonra bazı sorunlarla karşılaşmaları mümkün olabilecektir.</w:t>
      </w:r>
      <w:r w:rsidRPr="00890551">
        <w:rPr>
          <w:rFonts w:ascii="Times New Roman" w:eastAsia="Times New Roman" w:hAnsi="Times New Roman" w:cs="Times New Roman"/>
          <w:color w:val="000000"/>
          <w:lang w:eastAsia="tr-TR"/>
        </w:rPr>
        <w:t xml:space="preserve"> Bu yazıda, konu hakkındaki görüşlerimize yer verilecektir.</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z w:val="24"/>
          <w:szCs w:val="24"/>
          <w:lang w:eastAsia="tr-TR"/>
        </w:rPr>
        <w:t> </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b/>
          <w:bCs/>
          <w:color w:val="000000"/>
          <w:lang w:eastAsia="tr-TR"/>
        </w:rPr>
        <w:t>II- UYGULAMAYA İLİŞKİN GENEL BİLGİLER</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pacing w:val="-4"/>
          <w:lang w:eastAsia="tr-TR"/>
        </w:rPr>
        <w:t>Hayali kasa mevcudu ve ortaklardan alacaklar konusundaki yasal düzenlemeden bilanço esasına göre defter tutan kurumlar vergisi mükellefleri yararlanabilecektir. Bilanço esasına göre defter tutan mükelleflerin, 31.12.2010 tarihi itibarıyla düzenleyecekleri bilançolarında görülmekle birlikte işletmelerinde bulunmayan kasa mevcutları ile ortaklardan olan net alacak tutarları, Kanun’un yayımlandığı 25 Şubat 2011 tarihini izleyen üçüncü ayın son iş günü olan 31 Mayıs 2011 tarihine (bu tarih dahil) kadar vergi dairelerine beyan etmek suretiyle kayıtlarını düzeltebilecektir.</w:t>
      </w:r>
    </w:p>
    <w:p w:rsidR="00890551" w:rsidRPr="00890551" w:rsidRDefault="00890551" w:rsidP="00890551">
      <w:pPr>
        <w:spacing w:before="107" w:after="107"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lang w:eastAsia="tr-TR"/>
        </w:rPr>
        <w:t>Beyan edilecek tutar üzerinden % 3 oranında vergi hesaplanacak, hesaplanan vergi beyanname verme süresi içinde ödenecektir. Ödenen vergiler, gelir ve kurumlar vergisinden mahsup edilemeyecektir. Beyan edilen tutarlar ile ödenen vergiler, kurumlar vergisi matrahının tespitinde gider olarak dikkate alınamayacaktır. Uygulamadan yararlanacak mükelleflerin yapacakları muhasebe kaydı ise aşağıdaki şekilde olacaktır.</w:t>
      </w:r>
    </w:p>
    <w:p w:rsidR="00890551" w:rsidRPr="00890551" w:rsidRDefault="00890551" w:rsidP="00890551">
      <w:pPr>
        <w:spacing w:before="107" w:after="107" w:line="240" w:lineRule="auto"/>
        <w:ind w:left="294"/>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b/>
          <w:bCs/>
          <w:color w:val="000000"/>
          <w:lang w:eastAsia="tr-TR"/>
        </w:rPr>
        <w:t>Örnek: </w:t>
      </w:r>
      <w:r w:rsidRPr="00890551">
        <w:rPr>
          <w:rFonts w:ascii="Times New Roman" w:eastAsia="Times New Roman" w:hAnsi="Times New Roman" w:cs="Times New Roman"/>
          <w:color w:val="000000"/>
          <w:lang w:eastAsia="tr-TR"/>
        </w:rPr>
        <w:t>(B) A.Ş’nin kayıtlarında ortaklardan alacaklar hesabında uzun süredir yer alan 750.000 TL’lik tutarı beyan ederek kayıtlarını </w:t>
      </w:r>
      <w:r w:rsidRPr="00890551">
        <w:rPr>
          <w:rFonts w:ascii="Times New Roman" w:eastAsia="Times New Roman" w:hAnsi="Times New Roman" w:cs="Times New Roman"/>
          <w:color w:val="000000"/>
          <w:spacing w:val="-2"/>
          <w:lang w:eastAsia="tr-TR"/>
        </w:rPr>
        <w:t>fiili duruma</w:t>
      </w:r>
      <w:r w:rsidRPr="00890551">
        <w:rPr>
          <w:rFonts w:ascii="Times New Roman" w:eastAsia="Times New Roman" w:hAnsi="Times New Roman" w:cs="Times New Roman"/>
          <w:color w:val="000000"/>
          <w:lang w:eastAsia="tr-TR"/>
        </w:rPr>
        <w:t> </w:t>
      </w:r>
      <w:r w:rsidRPr="00890551">
        <w:rPr>
          <w:rFonts w:ascii="Times New Roman" w:eastAsia="Times New Roman" w:hAnsi="Times New Roman" w:cs="Times New Roman"/>
          <w:color w:val="000000"/>
          <w:spacing w:val="-2"/>
          <w:lang w:eastAsia="tr-TR"/>
        </w:rPr>
        <w:t>uygun hale getir</w:t>
      </w:r>
      <w:r w:rsidRPr="00890551">
        <w:rPr>
          <w:rFonts w:ascii="Times New Roman" w:eastAsia="Times New Roman" w:hAnsi="Times New Roman" w:cs="Times New Roman"/>
          <w:color w:val="000000"/>
          <w:lang w:eastAsia="tr-TR"/>
        </w:rPr>
        <w:t>mek istemektedir. Anılan tutar üzerinden (750.000 x %3 =) 22.500 TL vergi ödenecektir. Yapılacak kayıt aşağıdaki şekilde olacaktır.</w:t>
      </w:r>
    </w:p>
    <w:p w:rsidR="00890551" w:rsidRPr="00890551" w:rsidRDefault="00890551" w:rsidP="00890551">
      <w:pPr>
        <w:spacing w:before="107" w:after="107" w:line="240" w:lineRule="auto"/>
        <w:ind w:left="294"/>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z w:val="24"/>
          <w:szCs w:val="24"/>
          <w:lang w:eastAsia="tr-TR"/>
        </w:rPr>
        <w:t> </w:t>
      </w:r>
    </w:p>
    <w:tbl>
      <w:tblPr>
        <w:tblW w:w="0" w:type="auto"/>
        <w:tblCellMar>
          <w:left w:w="0" w:type="dxa"/>
          <w:right w:w="0" w:type="dxa"/>
        </w:tblCellMar>
        <w:tblLook w:val="04A0"/>
      </w:tblPr>
      <w:tblGrid>
        <w:gridCol w:w="2207"/>
        <w:gridCol w:w="674"/>
        <w:gridCol w:w="660"/>
      </w:tblGrid>
      <w:tr w:rsidR="00890551" w:rsidRPr="00890551" w:rsidTr="00890551">
        <w:tc>
          <w:tcPr>
            <w:tcW w:w="3541" w:type="dxa"/>
            <w:gridSpan w:val="3"/>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Times New Roman" w:eastAsia="Times New Roman" w:hAnsi="Times New Roman" w:cs="Times New Roman"/>
                <w:sz w:val="20"/>
                <w:szCs w:val="20"/>
                <w:lang w:eastAsia="tr-TR"/>
              </w:rPr>
              <w:t>–––––––––––––––––/––––––––––––––––</w:t>
            </w:r>
          </w:p>
        </w:tc>
      </w:tr>
      <w:tr w:rsidR="00890551" w:rsidRPr="00890551" w:rsidTr="00890551">
        <w:tc>
          <w:tcPr>
            <w:tcW w:w="2207" w:type="dxa"/>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spacing w:val="-2"/>
                <w:sz w:val="18"/>
                <w:szCs w:val="18"/>
                <w:lang w:eastAsia="tr-TR"/>
              </w:rPr>
              <w:t>689 DİĞ. OL.DIŞI GİD. VE ZAR.</w:t>
            </w:r>
          </w:p>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spacing w:val="-2"/>
                <w:sz w:val="18"/>
                <w:szCs w:val="18"/>
                <w:lang w:eastAsia="tr-TR"/>
              </w:rPr>
              <w:t>(6111 sK. md. 11/2)</w:t>
            </w:r>
          </w:p>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spacing w:val="-6"/>
                <w:sz w:val="18"/>
                <w:szCs w:val="18"/>
                <w:lang w:eastAsia="tr-TR"/>
              </w:rPr>
              <w:t>(Kanunen Kabul Edilmeyen Gider)</w:t>
            </w:r>
          </w:p>
        </w:tc>
        <w:tc>
          <w:tcPr>
            <w:tcW w:w="674" w:type="dxa"/>
            <w:tcMar>
              <w:top w:w="0" w:type="dxa"/>
              <w:left w:w="70" w:type="dxa"/>
              <w:bottom w:w="0" w:type="dxa"/>
              <w:right w:w="70" w:type="dxa"/>
            </w:tcMar>
            <w:hideMark/>
          </w:tcPr>
          <w:p w:rsidR="00890551" w:rsidRPr="00890551" w:rsidRDefault="00890551" w:rsidP="00890551">
            <w:pPr>
              <w:spacing w:before="20" w:after="20" w:line="220" w:lineRule="atLeast"/>
              <w:jc w:val="right"/>
              <w:rPr>
                <w:rFonts w:ascii="Times New Roman" w:eastAsia="Times New Roman" w:hAnsi="Times New Roman" w:cs="Times New Roman"/>
                <w:sz w:val="24"/>
                <w:szCs w:val="24"/>
                <w:lang w:eastAsia="tr-TR"/>
              </w:rPr>
            </w:pPr>
            <w:r w:rsidRPr="00890551">
              <w:rPr>
                <w:rFonts w:ascii="Arial Narrow" w:eastAsia="Times New Roman" w:hAnsi="Arial Narrow" w:cs="Times New Roman"/>
                <w:sz w:val="18"/>
                <w:szCs w:val="18"/>
                <w:lang w:eastAsia="tr-TR"/>
              </w:rPr>
              <w:t>772.500</w:t>
            </w:r>
          </w:p>
        </w:tc>
        <w:tc>
          <w:tcPr>
            <w:tcW w:w="660" w:type="dxa"/>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sz w:val="18"/>
                <w:szCs w:val="18"/>
                <w:lang w:eastAsia="tr-TR"/>
              </w:rPr>
              <w:t> </w:t>
            </w:r>
          </w:p>
        </w:tc>
      </w:tr>
      <w:tr w:rsidR="00890551" w:rsidRPr="00890551" w:rsidTr="00890551">
        <w:tc>
          <w:tcPr>
            <w:tcW w:w="2881" w:type="dxa"/>
            <w:gridSpan w:val="2"/>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i/>
                <w:iCs/>
                <w:spacing w:val="-4"/>
                <w:sz w:val="18"/>
                <w:szCs w:val="18"/>
                <w:lang w:eastAsia="tr-TR"/>
              </w:rPr>
              <w:t>      </w:t>
            </w:r>
            <w:r w:rsidRPr="00890551">
              <w:rPr>
                <w:rFonts w:ascii="Arial Narrow" w:eastAsia="Times New Roman" w:hAnsi="Arial Narrow" w:cs="Times New Roman"/>
                <w:i/>
                <w:iCs/>
                <w:spacing w:val="-4"/>
                <w:sz w:val="18"/>
                <w:lang w:eastAsia="tr-TR"/>
              </w:rPr>
              <w:t> </w:t>
            </w:r>
            <w:r w:rsidRPr="00890551">
              <w:rPr>
                <w:rFonts w:ascii="Arial Narrow" w:eastAsia="Times New Roman" w:hAnsi="Arial Narrow" w:cs="Times New Roman"/>
                <w:sz w:val="18"/>
                <w:szCs w:val="18"/>
                <w:lang w:eastAsia="tr-TR"/>
              </w:rPr>
              <w:t>131 ORTAKLARDAN ALACAKLAR</w:t>
            </w:r>
          </w:p>
        </w:tc>
        <w:tc>
          <w:tcPr>
            <w:tcW w:w="660" w:type="dxa"/>
            <w:tcMar>
              <w:top w:w="0" w:type="dxa"/>
              <w:left w:w="70" w:type="dxa"/>
              <w:bottom w:w="0" w:type="dxa"/>
              <w:right w:w="70" w:type="dxa"/>
            </w:tcMar>
            <w:vAlign w:val="bottom"/>
            <w:hideMark/>
          </w:tcPr>
          <w:p w:rsidR="00890551" w:rsidRPr="00890551" w:rsidRDefault="00890551" w:rsidP="00890551">
            <w:pPr>
              <w:spacing w:before="20" w:after="20" w:line="220" w:lineRule="atLeast"/>
              <w:jc w:val="right"/>
              <w:rPr>
                <w:rFonts w:ascii="Times New Roman" w:eastAsia="Times New Roman" w:hAnsi="Times New Roman" w:cs="Times New Roman"/>
                <w:sz w:val="24"/>
                <w:szCs w:val="24"/>
                <w:lang w:eastAsia="tr-TR"/>
              </w:rPr>
            </w:pPr>
            <w:r w:rsidRPr="00890551">
              <w:rPr>
                <w:rFonts w:ascii="Arial Narrow" w:eastAsia="Times New Roman" w:hAnsi="Arial Narrow" w:cs="Times New Roman"/>
                <w:spacing w:val="-2"/>
                <w:sz w:val="18"/>
                <w:szCs w:val="18"/>
                <w:lang w:eastAsia="tr-TR"/>
              </w:rPr>
              <w:t>750.000</w:t>
            </w:r>
          </w:p>
        </w:tc>
      </w:tr>
      <w:tr w:rsidR="00890551" w:rsidRPr="00890551" w:rsidTr="00890551">
        <w:tc>
          <w:tcPr>
            <w:tcW w:w="2881" w:type="dxa"/>
            <w:gridSpan w:val="2"/>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i/>
                <w:iCs/>
                <w:sz w:val="18"/>
                <w:szCs w:val="18"/>
                <w:lang w:eastAsia="tr-TR"/>
              </w:rPr>
              <w:t>      </w:t>
            </w:r>
            <w:r w:rsidRPr="00890551">
              <w:rPr>
                <w:rFonts w:ascii="Arial Narrow" w:eastAsia="Times New Roman" w:hAnsi="Arial Narrow" w:cs="Times New Roman"/>
                <w:i/>
                <w:iCs/>
                <w:sz w:val="18"/>
                <w:lang w:eastAsia="tr-TR"/>
              </w:rPr>
              <w:t> </w:t>
            </w:r>
            <w:r w:rsidRPr="00890551">
              <w:rPr>
                <w:rFonts w:ascii="Arial Narrow" w:eastAsia="Times New Roman" w:hAnsi="Arial Narrow" w:cs="Times New Roman"/>
                <w:sz w:val="18"/>
                <w:szCs w:val="18"/>
                <w:lang w:eastAsia="tr-TR"/>
              </w:rPr>
              <w:t>360 ÖDENECEK VERGİ VE FON.</w:t>
            </w:r>
          </w:p>
        </w:tc>
        <w:tc>
          <w:tcPr>
            <w:tcW w:w="660" w:type="dxa"/>
            <w:tcMar>
              <w:top w:w="0" w:type="dxa"/>
              <w:left w:w="70" w:type="dxa"/>
              <w:bottom w:w="0" w:type="dxa"/>
              <w:right w:w="70" w:type="dxa"/>
            </w:tcMar>
            <w:vAlign w:val="bottom"/>
            <w:hideMark/>
          </w:tcPr>
          <w:p w:rsidR="00890551" w:rsidRPr="00890551" w:rsidRDefault="00890551" w:rsidP="00890551">
            <w:pPr>
              <w:spacing w:before="20" w:after="20" w:line="220" w:lineRule="atLeast"/>
              <w:jc w:val="right"/>
              <w:rPr>
                <w:rFonts w:ascii="Times New Roman" w:eastAsia="Times New Roman" w:hAnsi="Times New Roman" w:cs="Times New Roman"/>
                <w:sz w:val="24"/>
                <w:szCs w:val="24"/>
                <w:lang w:eastAsia="tr-TR"/>
              </w:rPr>
            </w:pPr>
            <w:r w:rsidRPr="00890551">
              <w:rPr>
                <w:rFonts w:ascii="Arial Narrow" w:eastAsia="Times New Roman" w:hAnsi="Arial Narrow" w:cs="Times New Roman"/>
                <w:sz w:val="18"/>
                <w:szCs w:val="18"/>
                <w:lang w:eastAsia="tr-TR"/>
              </w:rPr>
              <w:t>22.500</w:t>
            </w:r>
          </w:p>
        </w:tc>
      </w:tr>
      <w:tr w:rsidR="00890551" w:rsidRPr="00890551" w:rsidTr="00890551">
        <w:tc>
          <w:tcPr>
            <w:tcW w:w="3541" w:type="dxa"/>
            <w:gridSpan w:val="3"/>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Times New Roman" w:eastAsia="Times New Roman" w:hAnsi="Times New Roman" w:cs="Times New Roman"/>
                <w:sz w:val="20"/>
                <w:szCs w:val="20"/>
                <w:lang w:eastAsia="tr-TR"/>
              </w:rPr>
              <w:t>–––––––––––––––––/––––––––––––––––</w:t>
            </w:r>
          </w:p>
        </w:tc>
      </w:tr>
      <w:tr w:rsidR="00890551" w:rsidRPr="00890551" w:rsidTr="00890551">
        <w:tc>
          <w:tcPr>
            <w:tcW w:w="2207" w:type="dxa"/>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sz w:val="18"/>
                <w:szCs w:val="18"/>
                <w:lang w:eastAsia="tr-TR"/>
              </w:rPr>
              <w:t>950 KANUNEN KABUL</w:t>
            </w:r>
            <w:r w:rsidRPr="00890551">
              <w:rPr>
                <w:rFonts w:ascii="Arial Narrow" w:eastAsia="Times New Roman" w:hAnsi="Arial Narrow" w:cs="Times New Roman"/>
                <w:sz w:val="18"/>
                <w:lang w:eastAsia="tr-TR"/>
              </w:rPr>
              <w:t> </w:t>
            </w:r>
            <w:r w:rsidRPr="00890551">
              <w:rPr>
                <w:rFonts w:ascii="Arial Narrow" w:eastAsia="Times New Roman" w:hAnsi="Arial Narrow" w:cs="Times New Roman"/>
                <w:sz w:val="18"/>
                <w:szCs w:val="18"/>
                <w:lang w:eastAsia="tr-TR"/>
              </w:rPr>
              <w:br/>
              <w:t>      EDİLMEYEN GİD.</w:t>
            </w:r>
          </w:p>
        </w:tc>
        <w:tc>
          <w:tcPr>
            <w:tcW w:w="674" w:type="dxa"/>
            <w:tcMar>
              <w:top w:w="0" w:type="dxa"/>
              <w:left w:w="70" w:type="dxa"/>
              <w:bottom w:w="0" w:type="dxa"/>
              <w:right w:w="70" w:type="dxa"/>
            </w:tcMar>
            <w:vAlign w:val="bottom"/>
            <w:hideMark/>
          </w:tcPr>
          <w:p w:rsidR="00890551" w:rsidRPr="00890551" w:rsidRDefault="00890551" w:rsidP="00890551">
            <w:pPr>
              <w:spacing w:before="20" w:after="20" w:line="220" w:lineRule="atLeast"/>
              <w:jc w:val="right"/>
              <w:rPr>
                <w:rFonts w:ascii="Times New Roman" w:eastAsia="Times New Roman" w:hAnsi="Times New Roman" w:cs="Times New Roman"/>
                <w:sz w:val="24"/>
                <w:szCs w:val="24"/>
                <w:lang w:eastAsia="tr-TR"/>
              </w:rPr>
            </w:pPr>
            <w:r w:rsidRPr="00890551">
              <w:rPr>
                <w:rFonts w:ascii="Arial Narrow" w:eastAsia="Times New Roman" w:hAnsi="Arial Narrow" w:cs="Times New Roman"/>
                <w:sz w:val="18"/>
                <w:szCs w:val="18"/>
                <w:lang w:eastAsia="tr-TR"/>
              </w:rPr>
              <w:t>772.500</w:t>
            </w:r>
          </w:p>
        </w:tc>
        <w:tc>
          <w:tcPr>
            <w:tcW w:w="660" w:type="dxa"/>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sz w:val="18"/>
                <w:szCs w:val="18"/>
                <w:lang w:eastAsia="tr-TR"/>
              </w:rPr>
              <w:t> </w:t>
            </w:r>
          </w:p>
        </w:tc>
      </w:tr>
      <w:tr w:rsidR="00890551" w:rsidRPr="00890551" w:rsidTr="00890551">
        <w:tc>
          <w:tcPr>
            <w:tcW w:w="2881" w:type="dxa"/>
            <w:gridSpan w:val="2"/>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Arial Narrow" w:eastAsia="Times New Roman" w:hAnsi="Arial Narrow" w:cs="Times New Roman"/>
                <w:sz w:val="18"/>
                <w:szCs w:val="18"/>
                <w:lang w:eastAsia="tr-TR"/>
              </w:rPr>
              <w:t>       951 KAN. KAB. EDİLM. GİD. KARŞ.</w:t>
            </w:r>
          </w:p>
        </w:tc>
        <w:tc>
          <w:tcPr>
            <w:tcW w:w="660" w:type="dxa"/>
            <w:tcMar>
              <w:top w:w="0" w:type="dxa"/>
              <w:left w:w="70" w:type="dxa"/>
              <w:bottom w:w="0" w:type="dxa"/>
              <w:right w:w="70" w:type="dxa"/>
            </w:tcMar>
            <w:vAlign w:val="bottom"/>
            <w:hideMark/>
          </w:tcPr>
          <w:p w:rsidR="00890551" w:rsidRPr="00890551" w:rsidRDefault="00890551" w:rsidP="00890551">
            <w:pPr>
              <w:spacing w:before="20" w:after="20" w:line="220" w:lineRule="atLeast"/>
              <w:jc w:val="right"/>
              <w:rPr>
                <w:rFonts w:ascii="Times New Roman" w:eastAsia="Times New Roman" w:hAnsi="Times New Roman" w:cs="Times New Roman"/>
                <w:sz w:val="24"/>
                <w:szCs w:val="24"/>
                <w:lang w:eastAsia="tr-TR"/>
              </w:rPr>
            </w:pPr>
            <w:r w:rsidRPr="00890551">
              <w:rPr>
                <w:rFonts w:ascii="Arial Narrow" w:eastAsia="Times New Roman" w:hAnsi="Arial Narrow" w:cs="Times New Roman"/>
                <w:spacing w:val="-2"/>
                <w:sz w:val="18"/>
                <w:szCs w:val="18"/>
                <w:lang w:eastAsia="tr-TR"/>
              </w:rPr>
              <w:t>772.500</w:t>
            </w:r>
          </w:p>
        </w:tc>
      </w:tr>
      <w:tr w:rsidR="00890551" w:rsidRPr="00890551" w:rsidTr="00890551">
        <w:tc>
          <w:tcPr>
            <w:tcW w:w="3541" w:type="dxa"/>
            <w:gridSpan w:val="3"/>
            <w:tcMar>
              <w:top w:w="0" w:type="dxa"/>
              <w:left w:w="70" w:type="dxa"/>
              <w:bottom w:w="0" w:type="dxa"/>
              <w:right w:w="70" w:type="dxa"/>
            </w:tcMar>
            <w:hideMark/>
          </w:tcPr>
          <w:p w:rsidR="00890551" w:rsidRPr="00890551" w:rsidRDefault="00890551" w:rsidP="00890551">
            <w:pPr>
              <w:spacing w:before="20" w:after="20" w:line="220" w:lineRule="atLeast"/>
              <w:rPr>
                <w:rFonts w:ascii="Times New Roman" w:eastAsia="Times New Roman" w:hAnsi="Times New Roman" w:cs="Times New Roman"/>
                <w:sz w:val="24"/>
                <w:szCs w:val="24"/>
                <w:lang w:eastAsia="tr-TR"/>
              </w:rPr>
            </w:pPr>
            <w:r w:rsidRPr="00890551">
              <w:rPr>
                <w:rFonts w:ascii="Times New Roman" w:eastAsia="Times New Roman" w:hAnsi="Times New Roman" w:cs="Times New Roman"/>
                <w:sz w:val="20"/>
                <w:szCs w:val="20"/>
                <w:lang w:eastAsia="tr-TR"/>
              </w:rPr>
              <w:t>–––––––––––––––––/––––––––––––––––</w:t>
            </w:r>
          </w:p>
        </w:tc>
      </w:tr>
    </w:tbl>
    <w:p w:rsidR="00890551" w:rsidRPr="00890551" w:rsidRDefault="00890551" w:rsidP="00890551">
      <w:pPr>
        <w:spacing w:before="40" w:after="40" w:line="230" w:lineRule="atLeast"/>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z w:val="24"/>
          <w:szCs w:val="24"/>
          <w:lang w:eastAsia="tr-TR"/>
        </w:rPr>
        <w:t> </w:t>
      </w:r>
    </w:p>
    <w:p w:rsidR="00890551" w:rsidRPr="000865B5" w:rsidRDefault="00890551" w:rsidP="00890551">
      <w:pPr>
        <w:spacing w:before="40" w:after="40" w:line="230"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b/>
          <w:bCs/>
          <w:color w:val="000000"/>
          <w:sz w:val="24"/>
          <w:szCs w:val="24"/>
          <w:highlight w:val="yellow"/>
          <w:lang w:eastAsia="tr-TR"/>
        </w:rPr>
        <w:lastRenderedPageBreak/>
        <w:t>III- ORTAYA ÇIKMASI MUHTEMEL SORUN</w:t>
      </w:r>
    </w:p>
    <w:p w:rsidR="00890551" w:rsidRPr="000865B5" w:rsidRDefault="00890551" w:rsidP="00890551">
      <w:pPr>
        <w:spacing w:before="40" w:after="40" w:line="230"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z w:val="24"/>
          <w:szCs w:val="24"/>
          <w:highlight w:val="yellow"/>
          <w:lang w:eastAsia="tr-TR"/>
        </w:rPr>
        <w:t>6111 sayılı Kanun kapsamında hayali kasa mevcudunu ve/veya ortaklardan alacaklarını beyan eden mükellefler bakımından gelecekte bir sorun ortaya çıkabileceğini düşünmekteyiz. Bu görüşümüz, konu hakkında yayınlanan Tebliğ’de yer verilen yoruma dayanmaktadır.</w:t>
      </w:r>
    </w:p>
    <w:p w:rsidR="00890551" w:rsidRPr="000865B5" w:rsidRDefault="00890551" w:rsidP="00890551">
      <w:pPr>
        <w:spacing w:before="40" w:after="40" w:line="230"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pacing w:val="-2"/>
          <w:sz w:val="24"/>
          <w:szCs w:val="24"/>
          <w:highlight w:val="yellow"/>
          <w:lang w:eastAsia="tr-TR"/>
        </w:rPr>
        <w:t>6111 sayılı Kanun’un 11. maddesinin ikinci fıkrasının (c) bendinin son cümlesi; </w:t>
      </w:r>
      <w:r w:rsidRPr="000865B5">
        <w:rPr>
          <w:rFonts w:ascii="Times New Roman" w:eastAsia="Times New Roman" w:hAnsi="Times New Roman" w:cs="Times New Roman"/>
          <w:b/>
          <w:bCs/>
          <w:i/>
          <w:iCs/>
          <w:color w:val="000000"/>
          <w:spacing w:val="-2"/>
          <w:sz w:val="24"/>
          <w:szCs w:val="24"/>
          <w:highlight w:val="yellow"/>
          <w:lang w:eastAsia="tr-TR"/>
        </w:rPr>
        <w:t xml:space="preserve">“Bu fıkra </w:t>
      </w:r>
      <w:r w:rsidRPr="00903693">
        <w:rPr>
          <w:rFonts w:ascii="Times New Roman" w:eastAsia="Times New Roman" w:hAnsi="Times New Roman" w:cs="Times New Roman"/>
          <w:b/>
          <w:bCs/>
          <w:i/>
          <w:iCs/>
          <w:color w:val="FF0000"/>
          <w:spacing w:val="-2"/>
          <w:sz w:val="24"/>
          <w:szCs w:val="24"/>
          <w:highlight w:val="yellow"/>
          <w:lang w:eastAsia="tr-TR"/>
        </w:rPr>
        <w:t>uyarınca beyan edilen tutarlar nedeniyle ilave bir tarhiyat yapılmaz</w:t>
      </w:r>
      <w:r w:rsidRPr="000865B5">
        <w:rPr>
          <w:rFonts w:ascii="Times New Roman" w:eastAsia="Times New Roman" w:hAnsi="Times New Roman" w:cs="Times New Roman"/>
          <w:b/>
          <w:bCs/>
          <w:i/>
          <w:iCs/>
          <w:color w:val="000000"/>
          <w:spacing w:val="-2"/>
          <w:sz w:val="24"/>
          <w:szCs w:val="24"/>
          <w:highlight w:val="yellow"/>
          <w:lang w:eastAsia="tr-TR"/>
        </w:rPr>
        <w:t>”</w:t>
      </w:r>
      <w:r w:rsidRPr="000865B5">
        <w:rPr>
          <w:rFonts w:ascii="Times New Roman" w:eastAsia="Times New Roman" w:hAnsi="Times New Roman" w:cs="Times New Roman"/>
          <w:color w:val="000000"/>
          <w:spacing w:val="-2"/>
          <w:sz w:val="24"/>
          <w:szCs w:val="24"/>
          <w:highlight w:val="yellow"/>
          <w:lang w:eastAsia="tr-TR"/>
        </w:rPr>
        <w:t> hükmüne amirdir. Tebliğ’de bu cümle şu şekilde açıklanmıştır:</w:t>
      </w:r>
    </w:p>
    <w:p w:rsidR="00890551" w:rsidRPr="00903693" w:rsidRDefault="00890551" w:rsidP="00890551">
      <w:pPr>
        <w:spacing w:before="40" w:after="40" w:line="230" w:lineRule="atLeast"/>
        <w:jc w:val="both"/>
        <w:rPr>
          <w:rFonts w:ascii="Times New Roman" w:eastAsia="Times New Roman" w:hAnsi="Times New Roman" w:cs="Times New Roman"/>
          <w:color w:val="0070C0"/>
          <w:sz w:val="24"/>
          <w:szCs w:val="24"/>
          <w:highlight w:val="yellow"/>
          <w:lang w:eastAsia="tr-TR"/>
        </w:rPr>
      </w:pPr>
      <w:r w:rsidRPr="000865B5">
        <w:rPr>
          <w:rFonts w:ascii="Times New Roman" w:eastAsia="Times New Roman" w:hAnsi="Times New Roman" w:cs="Times New Roman"/>
          <w:b/>
          <w:bCs/>
          <w:color w:val="000000"/>
          <w:sz w:val="24"/>
          <w:szCs w:val="24"/>
          <w:highlight w:val="yellow"/>
          <w:lang w:eastAsia="tr-TR"/>
        </w:rPr>
        <w:t xml:space="preserve">“Kurumlar vergisi mükelleflerince 6111 sayılı Kanun’un 11. maddesinin ikinci fıkrası uyarınca, yapılan beyanla ilgili olarak söz konusu </w:t>
      </w:r>
      <w:r w:rsidRPr="00903693">
        <w:rPr>
          <w:rFonts w:ascii="Times New Roman" w:eastAsia="Times New Roman" w:hAnsi="Times New Roman" w:cs="Times New Roman"/>
          <w:b/>
          <w:bCs/>
          <w:color w:val="0070C0"/>
          <w:sz w:val="24"/>
          <w:szCs w:val="24"/>
          <w:highlight w:val="yellow"/>
          <w:lang w:eastAsia="tr-TR"/>
        </w:rPr>
        <w:t>tutarların ortaklara dağıtılıp dağıtılmadığına bakılmaksızın kâr dağıtımına bağlı vergi kesintisine yönelik ilave bir tarhiyat yapılmayacaktır.”</w:t>
      </w:r>
    </w:p>
    <w:p w:rsidR="00890551" w:rsidRPr="000865B5" w:rsidRDefault="00890551" w:rsidP="00890551">
      <w:pPr>
        <w:spacing w:before="40" w:after="40" w:line="230"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pacing w:val="-6"/>
          <w:sz w:val="24"/>
          <w:szCs w:val="24"/>
          <w:highlight w:val="yellow"/>
          <w:lang w:eastAsia="tr-TR"/>
        </w:rPr>
        <w:t>Tebliğ’in </w:t>
      </w:r>
      <w:r w:rsidRPr="000865B5">
        <w:rPr>
          <w:rFonts w:ascii="Times New Roman" w:eastAsia="Times New Roman" w:hAnsi="Times New Roman" w:cs="Times New Roman"/>
          <w:b/>
          <w:bCs/>
          <w:color w:val="000000"/>
          <w:spacing w:val="-6"/>
          <w:sz w:val="24"/>
          <w:szCs w:val="24"/>
          <w:highlight w:val="yellow"/>
          <w:lang w:eastAsia="tr-TR"/>
        </w:rPr>
        <w:t>“taslak”</w:t>
      </w:r>
      <w:r w:rsidRPr="000865B5">
        <w:rPr>
          <w:rFonts w:ascii="Times New Roman" w:eastAsia="Times New Roman" w:hAnsi="Times New Roman" w:cs="Times New Roman"/>
          <w:color w:val="000000"/>
          <w:spacing w:val="-6"/>
          <w:sz w:val="24"/>
          <w:szCs w:val="24"/>
          <w:highlight w:val="yellow"/>
          <w:lang w:eastAsia="tr-TR"/>
        </w:rPr>
        <w:t xml:space="preserve"> halindeki şeklinde, bu durumdaki mükellefler hakkında </w:t>
      </w:r>
      <w:r w:rsidRPr="00903693">
        <w:rPr>
          <w:rFonts w:ascii="Times New Roman" w:eastAsia="Times New Roman" w:hAnsi="Times New Roman" w:cs="Times New Roman"/>
          <w:color w:val="FF0000"/>
          <w:spacing w:val="-6"/>
          <w:sz w:val="24"/>
          <w:szCs w:val="24"/>
          <w:highlight w:val="yellow"/>
          <w:lang w:eastAsia="tr-TR"/>
        </w:rPr>
        <w:t>finansman kazancına dayalı olarak da tarhiyat yapılamayacağı ifadesi yer almaktaydı.</w:t>
      </w:r>
      <w:r w:rsidRPr="000865B5">
        <w:rPr>
          <w:rFonts w:ascii="Times New Roman" w:eastAsia="Times New Roman" w:hAnsi="Times New Roman" w:cs="Times New Roman"/>
          <w:color w:val="000000"/>
          <w:spacing w:val="-6"/>
          <w:sz w:val="24"/>
          <w:szCs w:val="24"/>
          <w:highlight w:val="yellow"/>
          <w:lang w:eastAsia="tr-TR"/>
        </w:rPr>
        <w:t xml:space="preserve"> Bu ifadenin daha sonra çıkarılması, idarenin görüşü açısından açık bir irade beyanı olarak değerlendirilmektedir.</w:t>
      </w:r>
    </w:p>
    <w:p w:rsidR="00890551" w:rsidRPr="000865B5" w:rsidRDefault="00890551" w:rsidP="00890551">
      <w:pPr>
        <w:spacing w:before="40" w:after="40" w:line="232"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z w:val="24"/>
          <w:szCs w:val="24"/>
          <w:highlight w:val="yellow"/>
          <w:lang w:eastAsia="tr-TR"/>
        </w:rPr>
        <w:t>Tebliğ’de yer alan </w:t>
      </w:r>
      <w:r w:rsidRPr="000865B5">
        <w:rPr>
          <w:rFonts w:ascii="Times New Roman" w:eastAsia="Times New Roman" w:hAnsi="Times New Roman" w:cs="Times New Roman"/>
          <w:b/>
          <w:bCs/>
          <w:color w:val="000000"/>
          <w:sz w:val="24"/>
          <w:szCs w:val="24"/>
          <w:highlight w:val="yellow"/>
          <w:lang w:eastAsia="tr-TR"/>
        </w:rPr>
        <w:t>“açıklamaya”</w:t>
      </w:r>
      <w:r w:rsidRPr="000865B5">
        <w:rPr>
          <w:rFonts w:ascii="Times New Roman" w:eastAsia="Times New Roman" w:hAnsi="Times New Roman" w:cs="Times New Roman"/>
          <w:color w:val="000000"/>
          <w:sz w:val="24"/>
          <w:szCs w:val="24"/>
          <w:highlight w:val="yellow"/>
          <w:lang w:eastAsia="tr-TR"/>
        </w:rPr>
        <w:t> göre kanundaki ifade, sadece kâr dağıtımı üzerinden yapılması gereken vergi kesintisine yönelik bir kısıtlama özelliğindedir. Başka bir deyişle, gelecekte yapılacak vergi inceleme raporlarına dayalı olarak şirketler hakkında </w:t>
      </w:r>
      <w:r w:rsidRPr="000865B5">
        <w:rPr>
          <w:rFonts w:ascii="Times New Roman" w:eastAsia="Times New Roman" w:hAnsi="Times New Roman" w:cs="Times New Roman"/>
          <w:b/>
          <w:bCs/>
          <w:color w:val="000000"/>
          <w:sz w:val="24"/>
          <w:szCs w:val="24"/>
          <w:highlight w:val="yellow"/>
          <w:lang w:eastAsia="tr-TR"/>
        </w:rPr>
        <w:t>“finansman kazancı”</w:t>
      </w:r>
      <w:r w:rsidRPr="000865B5">
        <w:rPr>
          <w:rFonts w:ascii="Times New Roman" w:eastAsia="Times New Roman" w:hAnsi="Times New Roman" w:cs="Times New Roman"/>
          <w:color w:val="000000"/>
          <w:sz w:val="24"/>
          <w:szCs w:val="24"/>
          <w:highlight w:val="yellow"/>
          <w:lang w:eastAsia="tr-TR"/>
        </w:rPr>
        <w:t> dolayısıyla ilave kurumlar vergisi ve katma değer vergisi tarhiyatı yapılması ve bunlar üzerinden vergi ziyaı cezası kesilmesi mümkün bulunmaktadır.</w:t>
      </w:r>
    </w:p>
    <w:p w:rsidR="00890551" w:rsidRPr="000865B5" w:rsidRDefault="00890551" w:rsidP="00890551">
      <w:pPr>
        <w:spacing w:before="40" w:after="40" w:line="232"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z w:val="24"/>
          <w:szCs w:val="24"/>
          <w:highlight w:val="yellow"/>
          <w:lang w:eastAsia="tr-TR"/>
        </w:rPr>
        <w:t> </w:t>
      </w:r>
    </w:p>
    <w:p w:rsidR="00890551" w:rsidRPr="000865B5" w:rsidRDefault="00890551" w:rsidP="00890551">
      <w:pPr>
        <w:spacing w:before="40" w:after="40" w:line="238"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b/>
          <w:bCs/>
          <w:color w:val="000000"/>
          <w:sz w:val="24"/>
          <w:szCs w:val="24"/>
          <w:highlight w:val="yellow"/>
          <w:lang w:eastAsia="tr-TR"/>
        </w:rPr>
        <w:t>IV- SONUÇ</w:t>
      </w:r>
    </w:p>
    <w:p w:rsidR="00890551" w:rsidRPr="000865B5" w:rsidRDefault="00890551" w:rsidP="00890551">
      <w:pPr>
        <w:spacing w:before="40" w:after="40" w:line="238"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pacing w:val="-2"/>
          <w:sz w:val="24"/>
          <w:szCs w:val="24"/>
          <w:highlight w:val="yellow"/>
          <w:lang w:eastAsia="tr-TR"/>
        </w:rPr>
        <w:t>Hayali kasa mevcudu ve ortaklardan alacakların beyanı nedeniyle kâr dağıtımı üzerinden vergi kesintisine yönelik ilave tarhiyat yapılamayacağına ilişkin </w:t>
      </w:r>
      <w:r w:rsidRPr="000865B5">
        <w:rPr>
          <w:rFonts w:ascii="Times New Roman" w:eastAsia="Times New Roman" w:hAnsi="Times New Roman" w:cs="Times New Roman"/>
          <w:b/>
          <w:bCs/>
          <w:color w:val="000000"/>
          <w:spacing w:val="-2"/>
          <w:sz w:val="24"/>
          <w:szCs w:val="24"/>
          <w:highlight w:val="yellow"/>
          <w:lang w:eastAsia="tr-TR"/>
        </w:rPr>
        <w:t>“kapsam daraltıcı” </w:t>
      </w:r>
      <w:r w:rsidRPr="000865B5">
        <w:rPr>
          <w:rFonts w:ascii="Times New Roman" w:eastAsia="Times New Roman" w:hAnsi="Times New Roman" w:cs="Times New Roman"/>
          <w:color w:val="000000"/>
          <w:spacing w:val="-2"/>
          <w:sz w:val="24"/>
          <w:szCs w:val="24"/>
          <w:highlight w:val="yellow"/>
          <w:lang w:eastAsia="tr-TR"/>
        </w:rPr>
        <w:t>açıklama kanımızca isabetsizdir. Kanun koyucunun bu yönde bir iradesi olsaydı, buna madde metninde açıkça yer verirdi.</w:t>
      </w:r>
    </w:p>
    <w:p w:rsidR="00890551" w:rsidRPr="000865B5" w:rsidRDefault="00890551" w:rsidP="00890551">
      <w:pPr>
        <w:spacing w:before="40" w:after="40" w:line="238"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z w:val="24"/>
          <w:szCs w:val="24"/>
          <w:highlight w:val="yellow"/>
          <w:lang w:eastAsia="tr-TR"/>
        </w:rPr>
        <w:t>Kanun’da yer alan; </w:t>
      </w:r>
      <w:r w:rsidRPr="000865B5">
        <w:rPr>
          <w:rFonts w:ascii="Times New Roman" w:eastAsia="Times New Roman" w:hAnsi="Times New Roman" w:cs="Times New Roman"/>
          <w:b/>
          <w:bCs/>
          <w:i/>
          <w:iCs/>
          <w:color w:val="000000"/>
          <w:sz w:val="24"/>
          <w:szCs w:val="24"/>
          <w:highlight w:val="yellow"/>
          <w:lang w:eastAsia="tr-TR"/>
        </w:rPr>
        <w:t>“Bu fıkra uyarınca beyan edilen tutarlar nedeniyle ilave bir tarhiyat yapılmaz”</w:t>
      </w:r>
      <w:r w:rsidRPr="000865B5">
        <w:rPr>
          <w:rFonts w:ascii="Times New Roman" w:eastAsia="Times New Roman" w:hAnsi="Times New Roman" w:cs="Times New Roman"/>
          <w:b/>
          <w:bCs/>
          <w:color w:val="000000"/>
          <w:sz w:val="24"/>
          <w:szCs w:val="24"/>
          <w:highlight w:val="yellow"/>
          <w:lang w:eastAsia="tr-TR"/>
        </w:rPr>
        <w:t> </w:t>
      </w:r>
      <w:r w:rsidRPr="000865B5">
        <w:rPr>
          <w:rFonts w:ascii="Times New Roman" w:eastAsia="Times New Roman" w:hAnsi="Times New Roman" w:cs="Times New Roman"/>
          <w:color w:val="000000"/>
          <w:sz w:val="24"/>
          <w:szCs w:val="24"/>
          <w:highlight w:val="yellow"/>
          <w:lang w:eastAsia="tr-TR"/>
        </w:rPr>
        <w:t>hükmü, </w:t>
      </w:r>
      <w:r w:rsidRPr="000865B5">
        <w:rPr>
          <w:rFonts w:ascii="Times New Roman" w:eastAsia="Times New Roman" w:hAnsi="Times New Roman" w:cs="Times New Roman"/>
          <w:b/>
          <w:bCs/>
          <w:color w:val="000000"/>
          <w:sz w:val="24"/>
          <w:szCs w:val="24"/>
          <w:highlight w:val="yellow"/>
          <w:lang w:eastAsia="tr-TR"/>
        </w:rPr>
        <w:t>“vergi türü”</w:t>
      </w:r>
      <w:r w:rsidRPr="000865B5">
        <w:rPr>
          <w:rFonts w:ascii="Times New Roman" w:eastAsia="Times New Roman" w:hAnsi="Times New Roman" w:cs="Times New Roman"/>
          <w:color w:val="000000"/>
          <w:sz w:val="24"/>
          <w:szCs w:val="24"/>
          <w:highlight w:val="yellow"/>
          <w:lang w:eastAsia="tr-TR"/>
        </w:rPr>
        <w:t> açısından herhangi bir kısıtlama içermemektedir. Hüküm sadece </w:t>
      </w:r>
      <w:r w:rsidRPr="000865B5">
        <w:rPr>
          <w:rFonts w:ascii="Times New Roman" w:eastAsia="Times New Roman" w:hAnsi="Times New Roman" w:cs="Times New Roman"/>
          <w:b/>
          <w:bCs/>
          <w:color w:val="000000"/>
          <w:sz w:val="24"/>
          <w:szCs w:val="24"/>
          <w:highlight w:val="yellow"/>
          <w:lang w:eastAsia="tr-TR"/>
        </w:rPr>
        <w:t>“tarhiyat nedeni”</w:t>
      </w:r>
      <w:r w:rsidRPr="000865B5">
        <w:rPr>
          <w:rFonts w:ascii="Times New Roman" w:eastAsia="Times New Roman" w:hAnsi="Times New Roman" w:cs="Times New Roman"/>
          <w:color w:val="000000"/>
          <w:sz w:val="24"/>
          <w:szCs w:val="24"/>
          <w:highlight w:val="yellow"/>
          <w:lang w:eastAsia="tr-TR"/>
        </w:rPr>
        <w:t>yönünden kısıtlama içermektedir. Dolayısıyla olası ihtilaflara yer vermemek açısından idarenin bu görüşünü değiştirmesi gerektiği düşüncesindeyiz.</w:t>
      </w:r>
    </w:p>
    <w:p w:rsidR="00890551" w:rsidRPr="000865B5" w:rsidRDefault="00890551" w:rsidP="00890551">
      <w:pPr>
        <w:spacing w:before="40" w:after="40" w:line="238" w:lineRule="atLeast"/>
        <w:jc w:val="both"/>
        <w:rPr>
          <w:rFonts w:ascii="Times New Roman" w:eastAsia="Times New Roman" w:hAnsi="Times New Roman" w:cs="Times New Roman"/>
          <w:color w:val="000000"/>
          <w:sz w:val="24"/>
          <w:szCs w:val="24"/>
          <w:highlight w:val="yellow"/>
          <w:lang w:eastAsia="tr-TR"/>
        </w:rPr>
      </w:pPr>
      <w:r w:rsidRPr="000865B5">
        <w:rPr>
          <w:rFonts w:ascii="Times New Roman" w:eastAsia="Times New Roman" w:hAnsi="Times New Roman" w:cs="Times New Roman"/>
          <w:color w:val="000000"/>
          <w:sz w:val="24"/>
          <w:szCs w:val="24"/>
          <w:highlight w:val="yellow"/>
          <w:lang w:eastAsia="tr-TR"/>
        </w:rPr>
        <w:t>Daha açık bir şekilde ifade etmek gerekirse, idarenin bu görüşü doğrultusunda beyan edilen bu tutarlara yönelik olarak kurumlar vergisi ve katma değer vergisi yönünden tarhiyat yapılması halinde, bu işlemin idari yargıda iptal edilmesi olasılığının oldukça yüksek olduğunu düşünüyoruz.</w:t>
      </w:r>
    </w:p>
    <w:p w:rsidR="00890551" w:rsidRPr="000865B5" w:rsidRDefault="00890551" w:rsidP="00890551">
      <w:pPr>
        <w:spacing w:before="40" w:after="40" w:line="238" w:lineRule="atLeast"/>
        <w:jc w:val="both"/>
        <w:rPr>
          <w:rFonts w:ascii="Times New Roman" w:eastAsia="Times New Roman" w:hAnsi="Times New Roman" w:cs="Times New Roman"/>
          <w:color w:val="000000"/>
          <w:sz w:val="24"/>
          <w:szCs w:val="24"/>
          <w:lang w:eastAsia="tr-TR"/>
        </w:rPr>
      </w:pPr>
      <w:r w:rsidRPr="000865B5">
        <w:rPr>
          <w:rFonts w:ascii="Times New Roman" w:eastAsia="Times New Roman" w:hAnsi="Times New Roman" w:cs="Times New Roman"/>
          <w:color w:val="000000"/>
          <w:spacing w:val="-2"/>
          <w:sz w:val="24"/>
          <w:szCs w:val="24"/>
          <w:highlight w:val="yellow"/>
          <w:lang w:eastAsia="tr-TR"/>
        </w:rPr>
        <w:t>Olası uyuşmazlıklarda dava açmak istemeyen ve ilgili hükümlerden yararlanmak isteyen mükelleflere önerimiz ise ilgili yıllar için kurumlar vergisi ve katma değer vergisi yönünden matrah artırımı hükümlerinden yararlanmaları</w:t>
      </w:r>
      <w:r w:rsidRPr="000865B5">
        <w:rPr>
          <w:rFonts w:ascii="Times New Roman" w:eastAsia="Times New Roman" w:hAnsi="Times New Roman" w:cs="Times New Roman"/>
          <w:color w:val="000000"/>
          <w:sz w:val="24"/>
          <w:szCs w:val="24"/>
          <w:highlight w:val="yellow"/>
          <w:lang w:eastAsia="tr-TR"/>
        </w:rPr>
        <w:t>.</w:t>
      </w:r>
    </w:p>
    <w:p w:rsidR="00890551" w:rsidRPr="00890551" w:rsidRDefault="00890551" w:rsidP="00890551">
      <w:pPr>
        <w:spacing w:after="0" w:line="240" w:lineRule="auto"/>
        <w:jc w:val="both"/>
        <w:rPr>
          <w:rFonts w:ascii="Times New Roman" w:eastAsia="Times New Roman" w:hAnsi="Times New Roman" w:cs="Times New Roman"/>
          <w:color w:val="000000"/>
          <w:sz w:val="24"/>
          <w:szCs w:val="24"/>
          <w:lang w:eastAsia="tr-TR"/>
        </w:rPr>
      </w:pPr>
      <w:r w:rsidRPr="00890551">
        <w:rPr>
          <w:rFonts w:ascii="Times New Roman" w:eastAsia="Times New Roman" w:hAnsi="Times New Roman" w:cs="Times New Roman"/>
          <w:color w:val="000000"/>
          <w:sz w:val="24"/>
          <w:szCs w:val="24"/>
          <w:lang w:eastAsia="tr-TR"/>
        </w:rPr>
        <w:t> </w:t>
      </w:r>
    </w:p>
    <w:p w:rsidR="00F57F54" w:rsidRDefault="00F57F54"/>
    <w:sectPr w:rsidR="00F57F54" w:rsidSect="00F57F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890551"/>
    <w:rsid w:val="000865B5"/>
    <w:rsid w:val="00287EB5"/>
    <w:rsid w:val="006A2FE0"/>
    <w:rsid w:val="006E4BC0"/>
    <w:rsid w:val="00890551"/>
    <w:rsid w:val="00903693"/>
    <w:rsid w:val="00B2000E"/>
    <w:rsid w:val="00F57F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90551"/>
  </w:style>
  <w:style w:type="character" w:styleId="Hyperlink">
    <w:name w:val="Hyperlink"/>
    <w:basedOn w:val="DefaultParagraphFont"/>
    <w:uiPriority w:val="99"/>
    <w:semiHidden/>
    <w:unhideWhenUsed/>
    <w:rsid w:val="00890551"/>
    <w:rPr>
      <w:color w:val="0000FF"/>
      <w:u w:val="single"/>
    </w:rPr>
  </w:style>
  <w:style w:type="character" w:customStyle="1" w:styleId="apple-converted-space">
    <w:name w:val="apple-converted-space"/>
    <w:basedOn w:val="DefaultParagraphFont"/>
    <w:rsid w:val="00890551"/>
  </w:style>
</w:styles>
</file>

<file path=word/webSettings.xml><?xml version="1.0" encoding="utf-8"?>
<w:webSettings xmlns:r="http://schemas.openxmlformats.org/officeDocument/2006/relationships" xmlns:w="http://schemas.openxmlformats.org/wordprocessingml/2006/main">
  <w:divs>
    <w:div w:id="9572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GULGUN</cp:lastModifiedBy>
  <cp:revision>6</cp:revision>
  <dcterms:created xsi:type="dcterms:W3CDTF">2011-04-14T11:01:00Z</dcterms:created>
  <dcterms:modified xsi:type="dcterms:W3CDTF">2011-04-23T10:42:00Z</dcterms:modified>
</cp:coreProperties>
</file>